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FDB" w:rsidRDefault="00BE3FDB" w:rsidP="00BE3FDB">
      <w:pPr>
        <w:ind w:firstLine="708"/>
        <w:jc w:val="both"/>
        <w:rPr>
          <w:rFonts w:ascii="Calibri" w:eastAsia="Times New Roman"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20 veinte de junio del año 2017 dos mil diecisiete. . . </w:t>
      </w:r>
    </w:p>
    <w:p w:rsidR="00BE3FDB" w:rsidRDefault="00BE3FDB" w:rsidP="00BE3FDB">
      <w:pPr>
        <w:rPr>
          <w:rFonts w:ascii="Calibri" w:hAnsi="Calibri" w:cs="Calibri"/>
          <w:color w:val="767171" w:themeColor="background2" w:themeShade="80"/>
          <w:sz w:val="20"/>
          <w:szCs w:val="20"/>
        </w:rPr>
      </w:pPr>
    </w:p>
    <w:p w:rsidR="00BE3FDB" w:rsidRDefault="00BE3FDB" w:rsidP="00BE3FDB">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1060</w:t>
      </w:r>
      <w:r>
        <w:rPr>
          <w:rFonts w:ascii="Calibri" w:hAnsi="Calibri" w:cs="Calibri"/>
          <w:b/>
          <w:bCs/>
          <w:iCs/>
          <w:color w:val="767171" w:themeColor="background2" w:themeShade="80"/>
          <w:sz w:val="26"/>
          <w:szCs w:val="26"/>
        </w:rPr>
        <w:t>/2016</w:t>
      </w:r>
      <w:r>
        <w:rPr>
          <w:rFonts w:ascii="Calibri" w:hAnsi="Calibri" w:cs="Calibri"/>
          <w:b/>
          <w:iCs/>
          <w:color w:val="767171" w:themeColor="background2" w:themeShade="80"/>
          <w:sz w:val="26"/>
          <w:szCs w:val="26"/>
        </w:rPr>
        <w:t>-JN</w:t>
      </w:r>
      <w:r>
        <w:rPr>
          <w:rFonts w:ascii="Calibri" w:hAnsi="Calibri" w:cs="Calibri"/>
          <w:color w:val="767171" w:themeColor="background2" w:themeShade="80"/>
          <w:sz w:val="26"/>
          <w:szCs w:val="26"/>
        </w:rPr>
        <w:t xml:space="preserve">, promovido por la ciudadana </w:t>
      </w:r>
      <w:r>
        <w:rPr>
          <w:rFonts w:ascii="Calibri" w:hAnsi="Calibri" w:cs="Calibri"/>
          <w:b/>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 . . . </w:t>
      </w:r>
    </w:p>
    <w:p w:rsidR="00BE3FDB" w:rsidRDefault="00BE3FDB" w:rsidP="00BE3FDB">
      <w:pPr>
        <w:pStyle w:val="Textoindependiente"/>
        <w:rPr>
          <w:rFonts w:ascii="Calibri" w:hAnsi="Calibri" w:cs="Calibri"/>
          <w:color w:val="767171" w:themeColor="background2" w:themeShade="80"/>
          <w:sz w:val="20"/>
          <w:szCs w:val="20"/>
        </w:rPr>
      </w:pPr>
    </w:p>
    <w:p w:rsidR="00BE3FDB" w:rsidRDefault="00BE3FDB" w:rsidP="00BE3FDB">
      <w:pPr>
        <w:pStyle w:val="Textoindependiente"/>
        <w:rPr>
          <w:rFonts w:ascii="Calibri" w:hAnsi="Calibri" w:cs="Calibri"/>
          <w:color w:val="767171" w:themeColor="background2" w:themeShade="80"/>
          <w:sz w:val="20"/>
          <w:szCs w:val="20"/>
        </w:rPr>
      </w:pPr>
    </w:p>
    <w:p w:rsidR="00BE3FDB" w:rsidRDefault="00BE3FDB" w:rsidP="00BE3FDB">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BE3FDB" w:rsidRDefault="00BE3FDB" w:rsidP="00BE3FDB">
      <w:pPr>
        <w:pStyle w:val="Textoindependiente"/>
        <w:ind w:firstLine="708"/>
        <w:jc w:val="center"/>
        <w:rPr>
          <w:rFonts w:ascii="Calibri" w:hAnsi="Calibri" w:cs="Calibri"/>
          <w:b/>
          <w:bCs/>
          <w:color w:val="767171" w:themeColor="background2" w:themeShade="80"/>
          <w:sz w:val="20"/>
          <w:szCs w:val="20"/>
        </w:rPr>
      </w:pPr>
    </w:p>
    <w:p w:rsidR="00BE3FDB" w:rsidRDefault="00BE3FDB" w:rsidP="00BE3FDB">
      <w:pPr>
        <w:pStyle w:val="Textoindependiente"/>
        <w:ind w:firstLine="708"/>
        <w:rPr>
          <w:rFonts w:ascii="Calibri" w:hAnsi="Calibri" w:cs="Calibri"/>
          <w:b/>
          <w:bCs/>
          <w:i/>
          <w:iCs/>
          <w:color w:val="AEAAAA" w:themeColor="background2" w:themeShade="BF"/>
          <w:sz w:val="20"/>
          <w:szCs w:val="20"/>
        </w:rPr>
      </w:pPr>
    </w:p>
    <w:p w:rsidR="00BE3FDB" w:rsidRDefault="00BE3FDB" w:rsidP="00BE3FDB">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28 veintiocho de noviembre del año pasado, sin que de las constancias de la presente causa administrativa se desprenda lo contrario. . . . . . . . . . . . . . . . . . . . . . . . . . . . . . . . . . . . . . . . . . . . . . . . . . </w:t>
      </w:r>
    </w:p>
    <w:p w:rsidR="00BE3FDB" w:rsidRDefault="00BE3FDB" w:rsidP="00BE3FDB">
      <w:pPr>
        <w:jc w:val="both"/>
        <w:rPr>
          <w:rFonts w:ascii="Calibri" w:hAnsi="Calibri" w:cs="Calibri"/>
          <w:b/>
          <w:i/>
          <w:iCs/>
          <w:color w:val="AEAAAA" w:themeColor="background2" w:themeShade="BF"/>
          <w:sz w:val="20"/>
          <w:szCs w:val="20"/>
          <w:lang w:val="es-MX"/>
        </w:rPr>
      </w:pPr>
    </w:p>
    <w:p w:rsidR="00BE3FDB" w:rsidRDefault="00BE3FDB" w:rsidP="00BE3FDB">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T-5539236 (T guion cinco-cinco-tres-nueve-dos-tres-seis), de fecha 28 veintiocho de noviembre del año 2016 dos mil dieciséis; documento que obra en el secreto de este Juzgado (visible en el expediente, en copia certificada a foja 8 ocho), el que merece pleno valor probatorio; conforme lo dispuesto en los artículos 78, 117, 118, 121 y 131 del Código de Procedimiento y Justicia Administrativa para el Estado y los Municipios de Guanajuato; toda vez que se trata de un documento público, expedido por una Agente de Tránsito, en el ejercicio de sus funciones; incluso, al contestar la demanda, la autoridad enjuiciada, al referirse a los hechos, reconoció de manera libre, expresa y sin coacción alguna, el haber emitido el acta de infracción impugnada; cuyos datos se encuentran en relación directa con el contenido del recibo oficial de pago visible en copia certificada a foja 9 nueve de este expediente. . . . . . . . . . . . . . . . . . . . . . . . . . . . . . . . . . . . . . . . . . </w:t>
      </w:r>
    </w:p>
    <w:p w:rsidR="00BE3FDB" w:rsidRDefault="00BE3FDB" w:rsidP="00BE3FDB">
      <w:pPr>
        <w:jc w:val="both"/>
        <w:rPr>
          <w:rFonts w:ascii="Calibri" w:hAnsi="Calibri" w:cs="Calibri"/>
          <w:color w:val="AEAAAA" w:themeColor="background2" w:themeShade="BF"/>
          <w:sz w:val="20"/>
          <w:szCs w:val="20"/>
        </w:rPr>
      </w:pPr>
    </w:p>
    <w:p w:rsidR="00BE3FDB" w:rsidRDefault="00BE3FDB" w:rsidP="00BE3FD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BE3FDB" w:rsidRDefault="00BE3FDB" w:rsidP="00BE3FDB">
      <w:pPr>
        <w:jc w:val="both"/>
        <w:rPr>
          <w:rFonts w:ascii="Calibri" w:hAnsi="Calibri" w:cs="Calibri"/>
          <w:b/>
          <w:bCs/>
          <w:i/>
          <w:iCs/>
          <w:color w:val="AEAAAA" w:themeColor="background2" w:themeShade="BF"/>
          <w:sz w:val="20"/>
          <w:szCs w:val="20"/>
        </w:rPr>
      </w:pPr>
    </w:p>
    <w:p w:rsidR="00BE3FDB" w:rsidRDefault="00BE3FDB" w:rsidP="00BE3FDB">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w:t>
      </w:r>
    </w:p>
    <w:p w:rsidR="00BE3FDB" w:rsidRDefault="00BE3FDB" w:rsidP="00BE3FDB">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1060/2016-JN</w:t>
      </w:r>
    </w:p>
    <w:p w:rsidR="00BE3FDB" w:rsidRDefault="00BE3FDB" w:rsidP="00BE3FDB">
      <w:pPr>
        <w:ind w:firstLine="708"/>
        <w:jc w:val="both"/>
        <w:rPr>
          <w:rFonts w:ascii="Calibri" w:hAnsi="Calibri" w:cs="Calibri"/>
          <w:bCs/>
          <w:iCs/>
          <w:color w:val="AEAAAA" w:themeColor="background2" w:themeShade="BF"/>
          <w:sz w:val="26"/>
          <w:szCs w:val="26"/>
        </w:rPr>
      </w:pPr>
    </w:p>
    <w:p w:rsidR="00BE3FDB" w:rsidRDefault="00BE3FDB" w:rsidP="00BE3FDB">
      <w:pPr>
        <w:jc w:val="both"/>
        <w:rPr>
          <w:rFonts w:ascii="Calibri" w:hAnsi="Calibri" w:cs="Calibri"/>
          <w:bCs/>
          <w:iCs/>
          <w:color w:val="767171" w:themeColor="background2" w:themeShade="80"/>
          <w:sz w:val="26"/>
          <w:szCs w:val="26"/>
        </w:rPr>
      </w:pPr>
      <w:proofErr w:type="gramStart"/>
      <w:r>
        <w:rPr>
          <w:rFonts w:ascii="Calibri" w:hAnsi="Calibri" w:cs="Calibri"/>
          <w:bCs/>
          <w:iCs/>
          <w:color w:val="767171" w:themeColor="background2" w:themeShade="80"/>
          <w:sz w:val="26"/>
          <w:szCs w:val="26"/>
        </w:rPr>
        <w:t>sobreseimiento</w:t>
      </w:r>
      <w:proofErr w:type="gramEnd"/>
      <w:r>
        <w:rPr>
          <w:rFonts w:ascii="Calibri" w:hAnsi="Calibri" w:cs="Calibri"/>
          <w:bCs/>
          <w:iCs/>
          <w:color w:val="767171" w:themeColor="background2" w:themeShade="80"/>
          <w:sz w:val="26"/>
          <w:szCs w:val="26"/>
        </w:rPr>
        <w:t xml:space="preserve"> previstas en los artículos 261 y 262 del Código de Procedimiento y Justicia Administrativa  para el Estado y los Municipios de  Guanajuato; ya que de </w:t>
      </w:r>
      <w:r>
        <w:rPr>
          <w:rFonts w:ascii="Calibri" w:hAnsi="Calibri" w:cs="Calibri"/>
          <w:bCs/>
          <w:iCs/>
          <w:color w:val="767171" w:themeColor="background2" w:themeShade="80"/>
          <w:sz w:val="26"/>
          <w:szCs w:val="26"/>
        </w:rPr>
        <w:lastRenderedPageBreak/>
        <w:t>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BE3FDB" w:rsidRDefault="00BE3FDB" w:rsidP="00BE3FDB">
      <w:pPr>
        <w:jc w:val="both"/>
        <w:rPr>
          <w:rFonts w:ascii="Calibri" w:hAnsi="Calibri" w:cs="Calibri"/>
          <w:bCs/>
          <w:iCs/>
          <w:color w:val="AEAAAA" w:themeColor="background2" w:themeShade="BF"/>
          <w:sz w:val="20"/>
          <w:szCs w:val="20"/>
        </w:rPr>
      </w:pPr>
    </w:p>
    <w:p w:rsidR="00BE3FDB" w:rsidRDefault="00BE3FDB" w:rsidP="00BE3FDB">
      <w:pPr>
        <w:ind w:firstLine="708"/>
        <w:jc w:val="both"/>
        <w:rPr>
          <w:rFonts w:ascii="Calibri" w:hAnsi="Calibri" w:cs="Calibri"/>
          <w:bCs/>
          <w:color w:val="767171" w:themeColor="background2" w:themeShade="80"/>
          <w:sz w:val="26"/>
          <w:szCs w:val="26"/>
        </w:rPr>
      </w:pPr>
      <w:r>
        <w:rPr>
          <w:rFonts w:ascii="Calibri" w:hAnsi="Calibri" w:cs="Calibri"/>
          <w:bCs/>
          <w:iCs/>
          <w:color w:val="767171" w:themeColor="background2" w:themeShade="80"/>
          <w:sz w:val="26"/>
          <w:szCs w:val="26"/>
        </w:rPr>
        <w:t>Sentado lo anterior, se advierte que en el presente proceso, la Agente de Tránsito demandada no</w:t>
      </w:r>
      <w:r>
        <w:rPr>
          <w:rFonts w:ascii="Calibri" w:hAnsi="Calibri" w:cs="Calibri"/>
          <w:b/>
          <w:bCs/>
          <w:iCs/>
          <w:color w:val="767171" w:themeColor="background2" w:themeShade="80"/>
          <w:sz w:val="26"/>
          <w:szCs w:val="26"/>
        </w:rPr>
        <w:t xml:space="preserve"> exteriorizó</w:t>
      </w:r>
      <w:r>
        <w:rPr>
          <w:rFonts w:ascii="Calibri" w:hAnsi="Calibri" w:cs="Calibri"/>
          <w:bCs/>
          <w:iCs/>
          <w:color w:val="767171" w:themeColor="background2" w:themeShade="80"/>
          <w:sz w:val="26"/>
          <w:szCs w:val="26"/>
        </w:rPr>
        <w:t xml:space="preserve"> </w:t>
      </w:r>
      <w:r>
        <w:rPr>
          <w:rFonts w:ascii="Calibri" w:hAnsi="Calibri" w:cs="Calibri"/>
          <w:bCs/>
          <w:color w:val="767171" w:themeColor="background2" w:themeShade="80"/>
          <w:sz w:val="26"/>
          <w:szCs w:val="26"/>
        </w:rPr>
        <w:t xml:space="preserve">causales de improcedencia o de sobreseimiento, en tanto que de oficio este juzgador no advierte la actualización de ninguna de las previstas en los artículos 261 y 262 del Código de Procedimiento y Justicia Administrativa para el Estado y los Municipios de Guanajuato. . . . . . . . . . . . . . . . . . . . . . . . . . . . . . . . . . . . . . . . . . . . . . . . . . . . . . . . . . . </w:t>
      </w:r>
    </w:p>
    <w:p w:rsidR="00BE3FDB" w:rsidRDefault="00BE3FDB" w:rsidP="00BE3FDB">
      <w:pPr>
        <w:ind w:firstLine="708"/>
        <w:jc w:val="both"/>
        <w:rPr>
          <w:rFonts w:ascii="Calibri" w:hAnsi="Calibri" w:cs="Calibri"/>
          <w:bCs/>
          <w:iCs/>
          <w:color w:val="AEAAAA" w:themeColor="background2" w:themeShade="BF"/>
          <w:sz w:val="26"/>
          <w:szCs w:val="26"/>
        </w:rPr>
      </w:pPr>
    </w:p>
    <w:p w:rsidR="00BE3FDB" w:rsidRDefault="00BE3FDB" w:rsidP="00BE3FDB">
      <w:pPr>
        <w:ind w:firstLine="708"/>
        <w:jc w:val="both"/>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t xml:space="preserve">Sin embargo, debe decirse que </w:t>
      </w:r>
      <w:r>
        <w:rPr>
          <w:rFonts w:ascii="Calibri" w:hAnsi="Calibri" w:cs="Calibri"/>
          <w:color w:val="767171" w:themeColor="background2" w:themeShade="80"/>
          <w:sz w:val="26"/>
          <w:szCs w:val="26"/>
        </w:rPr>
        <w:t xml:space="preserve">si bien es cierto que la boleta de infracción se levantó de manera </w:t>
      </w:r>
      <w:r>
        <w:rPr>
          <w:rFonts w:ascii="Calibri" w:hAnsi="Calibri" w:cs="Calibri"/>
          <w:b/>
          <w:color w:val="767171" w:themeColor="background2" w:themeShade="80"/>
          <w:sz w:val="26"/>
          <w:szCs w:val="26"/>
        </w:rPr>
        <w:t>innominada</w:t>
      </w:r>
      <w:r>
        <w:rPr>
          <w:rFonts w:ascii="Calibri" w:hAnsi="Calibri" w:cs="Calibri"/>
          <w:color w:val="767171" w:themeColor="background2" w:themeShade="80"/>
          <w:sz w:val="26"/>
          <w:szCs w:val="26"/>
        </w:rPr>
        <w:t xml:space="preserve"> al no encontrarse el conductor del vehículo en el lugar de los hechos tal y como se desprende de la boleta</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también lo es que la actora sí demostró contar con interés jurídico para promover el presente proceso; pues con la exhibición de la tarjeta de circulación con folio número 083275292, expedida por el Gobierno del Estado de Guanajuato, a la ciudadana *****, acredita la propiedad del vehículo marca Honda modelo </w:t>
      </w:r>
      <w:proofErr w:type="spellStart"/>
      <w:r>
        <w:rPr>
          <w:rFonts w:ascii="Calibri" w:hAnsi="Calibri" w:cs="Calibri"/>
          <w:color w:val="767171" w:themeColor="background2" w:themeShade="80"/>
          <w:sz w:val="26"/>
          <w:szCs w:val="26"/>
        </w:rPr>
        <w:t>Civic</w:t>
      </w:r>
      <w:proofErr w:type="spellEnd"/>
      <w:r>
        <w:rPr>
          <w:rFonts w:ascii="Calibri" w:hAnsi="Calibri" w:cs="Calibri"/>
          <w:color w:val="767171" w:themeColor="background2" w:themeShade="80"/>
          <w:sz w:val="26"/>
          <w:szCs w:val="26"/>
        </w:rPr>
        <w:t xml:space="preserve"> Sedán, año 2002 dos mil dos; descrito en el acta de infracción materia de la </w:t>
      </w:r>
      <w:r>
        <w:rPr>
          <w:rFonts w:ascii="Calibri" w:hAnsi="Calibri" w:cs="Calibri"/>
          <w:i/>
          <w:color w:val="767171" w:themeColor="background2" w:themeShade="80"/>
          <w:sz w:val="26"/>
          <w:szCs w:val="26"/>
        </w:rPr>
        <w:t>“</w:t>
      </w:r>
      <w:proofErr w:type="spellStart"/>
      <w:r>
        <w:rPr>
          <w:rFonts w:ascii="Calibri" w:hAnsi="Calibri" w:cs="Calibri"/>
          <w:i/>
          <w:color w:val="767171" w:themeColor="background2" w:themeShade="80"/>
          <w:sz w:val="26"/>
          <w:szCs w:val="26"/>
        </w:rPr>
        <w:t>litis</w:t>
      </w:r>
      <w:proofErr w:type="spellEnd"/>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con placas de circulación con número GTK3549; datos que coinciden con los redactados en el acta de infracción. . . . . . . . . . . . . . . . . . . . . . . . . </w:t>
      </w:r>
    </w:p>
    <w:p w:rsidR="00BE3FDB" w:rsidRDefault="00BE3FDB" w:rsidP="00BE3FDB">
      <w:pPr>
        <w:ind w:firstLine="708"/>
        <w:jc w:val="both"/>
        <w:rPr>
          <w:rFonts w:ascii="Calibri" w:hAnsi="Calibri" w:cs="Calibri"/>
          <w:color w:val="767171" w:themeColor="background2" w:themeShade="80"/>
          <w:sz w:val="26"/>
          <w:szCs w:val="26"/>
        </w:rPr>
      </w:pPr>
    </w:p>
    <w:p w:rsidR="00BE3FDB" w:rsidRDefault="00BE3FDB" w:rsidP="00BE3FD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Tarjeta de circulación que obra en original en el secreto de este Juzgado (visible, en copia certificada, a foja 10 diez); a la cual este Juzgador le concede pleno valor probatorio al no ser objetada por la autoridad demandada y estar adminiculada con la boleta de infracción; por lo que en la presente causa administrativa se encuentra acreditado el interés jurídico de la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 . . . . </w:t>
      </w:r>
    </w:p>
    <w:p w:rsidR="00BE3FDB" w:rsidRDefault="00BE3FDB" w:rsidP="00BE3FDB">
      <w:pPr>
        <w:pStyle w:val="Sangradetextonormal"/>
        <w:ind w:left="0" w:firstLine="708"/>
        <w:jc w:val="both"/>
        <w:rPr>
          <w:rFonts w:ascii="Calibri" w:hAnsi="Calibri" w:cs="Calibri"/>
          <w:bCs/>
          <w:color w:val="AEAAAA" w:themeColor="background2" w:themeShade="BF"/>
          <w:sz w:val="26"/>
          <w:szCs w:val="26"/>
          <w:lang w:val="es-ES"/>
        </w:rPr>
      </w:pPr>
    </w:p>
    <w:p w:rsidR="00BE3FDB" w:rsidRDefault="00BE3FDB" w:rsidP="00BE3FDB">
      <w:pPr>
        <w:pStyle w:val="Sangradetextonormal"/>
        <w:ind w:left="0" w:firstLine="708"/>
        <w:jc w:val="both"/>
        <w:rPr>
          <w:rFonts w:ascii="Calibri" w:hAnsi="Calibri" w:cs="Calibri"/>
          <w:bCs/>
          <w:color w:val="767171" w:themeColor="background2" w:themeShade="80"/>
          <w:sz w:val="26"/>
          <w:szCs w:val="26"/>
          <w:lang w:val="es-ES"/>
        </w:rPr>
      </w:pPr>
      <w:r>
        <w:rPr>
          <w:rFonts w:asciiTheme="minorHAnsi" w:hAnsiTheme="minorHAnsi" w:cstheme="minorHAnsi"/>
          <w:color w:val="767171" w:themeColor="background2" w:themeShade="80"/>
          <w:sz w:val="26"/>
          <w:szCs w:val="26"/>
        </w:rPr>
        <w:t xml:space="preserve">Debiendo agregar que la tarjeta de circulación y el acta impugnada tienen relación directa con el recibo oficial (visible a foja 9 nueve), admitido como prueba a la justiciable; por lo que con ello sí demuestra su interés jurídico para intervenir en el presente proceso. . . . . . . . . . . . . . . . . . . . . . . . . . . . . . . . . . . . . . . . . </w:t>
      </w:r>
    </w:p>
    <w:p w:rsidR="00BE3FDB" w:rsidRDefault="00BE3FDB" w:rsidP="00BE3FDB">
      <w:pPr>
        <w:pStyle w:val="Sangradetextonormal"/>
        <w:ind w:left="0" w:firstLine="708"/>
        <w:jc w:val="both"/>
        <w:rPr>
          <w:rFonts w:ascii="Calibri" w:hAnsi="Calibri" w:cs="Calibri"/>
          <w:bCs/>
          <w:color w:val="AEAAAA" w:themeColor="background2" w:themeShade="BF"/>
          <w:sz w:val="20"/>
          <w:szCs w:val="20"/>
          <w:lang w:val="es-ES"/>
        </w:rPr>
      </w:pPr>
    </w:p>
    <w:p w:rsidR="00BE3FDB" w:rsidRDefault="00BE3FDB" w:rsidP="00BE3FDB">
      <w:pPr>
        <w:ind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Así las cosas, al no actualizarse la causal de improcedencia señalada, y de oficio, se advierte por este Juzgador que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ninguna que impida el estudio de fondo de la presente causa administrativa, respecto del acto impugnado consistente en el acta de infracción; por lo que en consecuencia es procedente el presente proceso respecto de ese acto administrativo. . . . . . . . . . . </w:t>
      </w:r>
    </w:p>
    <w:p w:rsidR="00BE3FDB" w:rsidRDefault="00BE3FDB" w:rsidP="00BE3FDB">
      <w:pPr>
        <w:jc w:val="both"/>
        <w:rPr>
          <w:rFonts w:ascii="Calibri" w:hAnsi="Calibri" w:cs="Calibri"/>
          <w:bCs/>
          <w:iCs/>
          <w:color w:val="767171" w:themeColor="background2" w:themeShade="80"/>
          <w:sz w:val="20"/>
          <w:szCs w:val="20"/>
        </w:rPr>
      </w:pPr>
    </w:p>
    <w:p w:rsidR="00BE3FDB" w:rsidRDefault="00BE3FDB" w:rsidP="00BE3FDB">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w:t>
      </w:r>
      <w:r>
        <w:rPr>
          <w:rFonts w:ascii="Calibri" w:hAnsi="Calibri" w:cs="Calibri"/>
          <w:color w:val="767171" w:themeColor="background2" w:themeShade="80"/>
          <w:sz w:val="26"/>
          <w:szCs w:val="26"/>
        </w:rPr>
        <w:lastRenderedPageBreak/>
        <w:t xml:space="preserve">artículo 299 del Código de Procedimiento y Justicia Administrativa para el Estado y los Municipios de Guanajuato, procede a fijar clara y precisamente los puntos controvertidos en el presente proceso administrativo. . . </w:t>
      </w:r>
    </w:p>
    <w:p w:rsidR="00BE3FDB" w:rsidRDefault="00BE3FDB" w:rsidP="00BE3FDB">
      <w:pPr>
        <w:ind w:firstLine="708"/>
        <w:jc w:val="both"/>
        <w:rPr>
          <w:rFonts w:ascii="Calibri" w:hAnsi="Calibri" w:cs="Calibri"/>
          <w:b/>
          <w:bCs/>
          <w:i/>
          <w:iCs/>
          <w:color w:val="AEAAAA" w:themeColor="background2" w:themeShade="BF"/>
          <w:sz w:val="26"/>
          <w:szCs w:val="26"/>
        </w:rPr>
      </w:pPr>
    </w:p>
    <w:p w:rsidR="00BE3FDB" w:rsidRDefault="00BE3FDB" w:rsidP="00BE3FDB">
      <w:pPr>
        <w:ind w:firstLine="708"/>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De lo expuesto por la actora en su escrito de demanda, la contestación de la misma así como de las constancias que integran la presente causa administrativa; se desprende que la Agente de Tránsito de nombre *****, con fecha 28 veintiocho de noviembre del año 2016 dos mil dieciséis, levantó, de manera </w:t>
      </w:r>
      <w:r>
        <w:rPr>
          <w:rFonts w:ascii="Calibri" w:hAnsi="Calibri" w:cs="Calibri"/>
          <w:b/>
          <w:color w:val="767171" w:themeColor="background2" w:themeShade="80"/>
          <w:sz w:val="26"/>
          <w:szCs w:val="26"/>
        </w:rPr>
        <w:t>innominada</w:t>
      </w:r>
      <w:r>
        <w:rPr>
          <w:rFonts w:ascii="Calibri" w:hAnsi="Calibri" w:cs="Calibri"/>
          <w:color w:val="767171" w:themeColor="background2" w:themeShade="80"/>
          <w:sz w:val="26"/>
          <w:szCs w:val="26"/>
        </w:rPr>
        <w:t xml:space="preserve">, el acta de infracción con número T-5539236 (T guion cinco-cinco-tres-nueve-dos-tres-seis); por no encontrarse presente el conductor o no haber proporcionado sus datos; en el lugar ubicado en: </w:t>
      </w:r>
      <w:r>
        <w:rPr>
          <w:rFonts w:ascii="Calibri" w:hAnsi="Calibri" w:cs="Calibri"/>
          <w:i/>
          <w:iCs/>
          <w:color w:val="767171" w:themeColor="background2" w:themeShade="80"/>
          <w:sz w:val="26"/>
          <w:szCs w:val="26"/>
        </w:rPr>
        <w:t xml:space="preserve">“Boulevard Adolfo López Mateos y Donato Guerra”; </w:t>
      </w:r>
      <w:r>
        <w:rPr>
          <w:rFonts w:ascii="Calibri" w:hAnsi="Calibri" w:cs="Calibri"/>
          <w:iCs/>
          <w:color w:val="767171" w:themeColor="background2" w:themeShade="80"/>
          <w:sz w:val="26"/>
          <w:szCs w:val="26"/>
        </w:rPr>
        <w:t>con circulación de poniente a oriente,</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de la zona </w:t>
      </w:r>
      <w:r>
        <w:rPr>
          <w:rFonts w:ascii="Calibri" w:hAnsi="Calibri" w:cs="Calibri"/>
          <w:i/>
          <w:color w:val="767171" w:themeColor="background2" w:themeShade="80"/>
          <w:sz w:val="26"/>
          <w:szCs w:val="26"/>
        </w:rPr>
        <w:t>“Centro”</w:t>
      </w:r>
      <w:r>
        <w:rPr>
          <w:rFonts w:ascii="Calibri" w:hAnsi="Calibri" w:cs="Calibri"/>
          <w:color w:val="767171" w:themeColor="background2" w:themeShade="80"/>
          <w:sz w:val="26"/>
          <w:szCs w:val="26"/>
        </w:rPr>
        <w:t xml:space="preserve"> de esta ciudad; con motivos de: </w:t>
      </w:r>
      <w:r>
        <w:rPr>
          <w:rFonts w:ascii="Calibri" w:hAnsi="Calibri" w:cs="Calibri"/>
          <w:i/>
          <w:iCs/>
          <w:color w:val="767171" w:themeColor="background2" w:themeShade="80"/>
          <w:sz w:val="26"/>
          <w:szCs w:val="26"/>
        </w:rPr>
        <w:t xml:space="preserve">“Por estacionar vehículo de motor en el espacio asignado para el peatón (banqueta)” </w:t>
      </w:r>
      <w:r>
        <w:rPr>
          <w:rFonts w:ascii="Calibri" w:hAnsi="Calibri" w:cs="Calibri"/>
          <w:iCs/>
          <w:color w:val="767171" w:themeColor="background2" w:themeShade="80"/>
          <w:sz w:val="26"/>
          <w:szCs w:val="26"/>
        </w:rPr>
        <w:t>y</w:t>
      </w:r>
      <w:r>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w:t>
      </w:r>
      <w:r>
        <w:rPr>
          <w:rFonts w:ascii="Calibri" w:hAnsi="Calibri" w:cs="Calibri"/>
          <w:i/>
          <w:iCs/>
          <w:color w:val="767171" w:themeColor="background2" w:themeShade="80"/>
          <w:sz w:val="26"/>
          <w:szCs w:val="26"/>
        </w:rPr>
        <w:t>“Por insultar, denigrar, al Agente de Tránsito;”</w:t>
      </w:r>
      <w:r>
        <w:rPr>
          <w:rFonts w:ascii="Calibri" w:hAnsi="Calibri" w:cs="Calibri"/>
          <w:iCs/>
          <w:color w:val="767171" w:themeColor="background2" w:themeShade="80"/>
          <w:sz w:val="26"/>
          <w:szCs w:val="26"/>
        </w:rPr>
        <w:t xml:space="preserve"> en el apartado de </w:t>
      </w:r>
      <w:r>
        <w:rPr>
          <w:rFonts w:ascii="Calibri" w:hAnsi="Calibri" w:cs="Calibri"/>
          <w:i/>
          <w:iCs/>
          <w:color w:val="767171" w:themeColor="background2" w:themeShade="80"/>
          <w:sz w:val="26"/>
          <w:szCs w:val="26"/>
        </w:rPr>
        <w:t>“Referencia”</w:t>
      </w:r>
      <w:r>
        <w:rPr>
          <w:rFonts w:ascii="Calibri" w:hAnsi="Calibri" w:cs="Calibri"/>
          <w:iCs/>
          <w:color w:val="767171" w:themeColor="background2" w:themeShade="80"/>
          <w:sz w:val="26"/>
          <w:szCs w:val="26"/>
        </w:rPr>
        <w:t xml:space="preserve"> anotó: </w:t>
      </w:r>
      <w:r>
        <w:rPr>
          <w:rFonts w:ascii="Calibri" w:hAnsi="Calibri" w:cs="Calibri"/>
          <w:i/>
          <w:iCs/>
          <w:color w:val="767171" w:themeColor="background2" w:themeShade="80"/>
          <w:sz w:val="26"/>
          <w:szCs w:val="26"/>
        </w:rPr>
        <w:t xml:space="preserve">“Frente a Fundación </w:t>
      </w:r>
      <w:proofErr w:type="spellStart"/>
      <w:r>
        <w:rPr>
          <w:rFonts w:ascii="Calibri" w:hAnsi="Calibri" w:cs="Calibri"/>
          <w:i/>
          <w:iCs/>
          <w:color w:val="767171" w:themeColor="background2" w:themeShade="80"/>
          <w:sz w:val="26"/>
          <w:szCs w:val="26"/>
        </w:rPr>
        <w:t>Dondé</w:t>
      </w:r>
      <w:proofErr w:type="spellEnd"/>
      <w:r>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y en el apartado de ubicación de señalamiento vial oficial, escribió: </w:t>
      </w:r>
      <w:r>
        <w:rPr>
          <w:rFonts w:ascii="Calibri" w:hAnsi="Calibri" w:cs="Calibri"/>
          <w:i/>
          <w:iCs/>
          <w:color w:val="767171" w:themeColor="background2" w:themeShade="80"/>
          <w:sz w:val="26"/>
          <w:szCs w:val="26"/>
        </w:rPr>
        <w:t xml:space="preserve">“Como indica el o los artículos y fracciones antes mencionados”; </w:t>
      </w:r>
      <w:r>
        <w:rPr>
          <w:rFonts w:ascii="Calibri" w:hAnsi="Calibri" w:cs="Calibri"/>
          <w:iCs/>
          <w:color w:val="767171" w:themeColor="background2" w:themeShade="80"/>
          <w:sz w:val="26"/>
          <w:szCs w:val="26"/>
        </w:rPr>
        <w:t xml:space="preserve">en tanto que en el especio para indicar como se detectó en flagrancia la infracción, señaló: </w:t>
      </w:r>
      <w:r>
        <w:rPr>
          <w:rFonts w:ascii="Calibri" w:hAnsi="Calibri" w:cs="Calibri"/>
          <w:i/>
          <w:iCs/>
          <w:color w:val="767171" w:themeColor="background2" w:themeShade="80"/>
          <w:sz w:val="26"/>
          <w:szCs w:val="26"/>
        </w:rPr>
        <w:t xml:space="preserve">“Sobre recorrido me percato del vehículo antes mencionado estacionado en la banqueta y al arribar el conductor indicando el motivo de la infracción me responde con: “muévale culera, chingue su madre, haga su trabajo”, motivo del acta de infracción”. . . . .  . . . . . . . . . . . . . . . . . . . . . . . </w:t>
      </w:r>
    </w:p>
    <w:p w:rsidR="00BE3FDB" w:rsidRDefault="00BE3FDB" w:rsidP="00BE3FDB">
      <w:pPr>
        <w:ind w:firstLine="708"/>
        <w:jc w:val="both"/>
        <w:rPr>
          <w:rFonts w:ascii="Calibri" w:hAnsi="Calibri" w:cs="Calibri"/>
          <w:iCs/>
          <w:color w:val="767171" w:themeColor="background2" w:themeShade="80"/>
          <w:sz w:val="26"/>
          <w:szCs w:val="26"/>
        </w:rPr>
      </w:pPr>
    </w:p>
    <w:p w:rsidR="00BE3FDB" w:rsidRDefault="00BE3FDB" w:rsidP="00BE3FD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Recogiendo en garantía del pago de la infracción, una de las placas de circulación del vehículo, según consta en la propia acta impugnada</w:t>
      </w:r>
      <w:r>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 . . . . . . . . . . . </w:t>
      </w:r>
    </w:p>
    <w:p w:rsidR="00BE3FDB" w:rsidRDefault="00BE3FDB" w:rsidP="00BE3FDB">
      <w:pPr>
        <w:ind w:firstLine="708"/>
        <w:jc w:val="both"/>
        <w:rPr>
          <w:rFonts w:ascii="Calibri" w:hAnsi="Calibri" w:cs="Calibri"/>
          <w:iCs/>
          <w:color w:val="AEAAAA" w:themeColor="background2" w:themeShade="BF"/>
          <w:sz w:val="20"/>
          <w:szCs w:val="20"/>
        </w:rPr>
      </w:pPr>
    </w:p>
    <w:p w:rsidR="00BE3FDB" w:rsidRDefault="00BE3FDB" w:rsidP="00BE3FDB">
      <w:pPr>
        <w:ind w:firstLine="708"/>
        <w:jc w:val="both"/>
        <w:rPr>
          <w:rFonts w:ascii="Calibri" w:hAnsi="Calibri" w:cs="Calibri"/>
          <w:i/>
          <w:iCs/>
          <w:color w:val="767171" w:themeColor="background2" w:themeShade="80"/>
          <w:sz w:val="26"/>
          <w:szCs w:val="26"/>
        </w:rPr>
      </w:pPr>
      <w:r>
        <w:rPr>
          <w:rFonts w:ascii="Calibri" w:hAnsi="Calibri" w:cs="Calibri"/>
          <w:iCs/>
          <w:color w:val="767171" w:themeColor="background2" w:themeShade="80"/>
          <w:sz w:val="26"/>
          <w:szCs w:val="26"/>
        </w:rPr>
        <w:t xml:space="preserve">Acta de Infracción que posteriormente fue calificada, pues la actora también exhibió el recibo oficial de pago con número AA 6139179, (AA seis-uno-tres-nueve-uno-siete-nueve), de fecha 2 dos de diciembre del año pasado; del que se desprende que pagó, por concepto de multas, las cantidades de $94.95 (Noventa y cuatro pesos 95/100 Moneda Nacional) por la primera infracción anotada; y $730.40 (Setecientos treinta pesos 40/100 Moneda Nacional), por la segunda. . . . . . . . . . . . . . . . . . . . . . . . . . . . . . . . . . . . . . . . . . . . . . . . . . . . . . . . . . . . . . </w:t>
      </w:r>
    </w:p>
    <w:p w:rsidR="00BE3FDB" w:rsidRDefault="00BE3FDB" w:rsidP="00BE3FDB">
      <w:pPr>
        <w:pStyle w:val="Textoindependiente"/>
        <w:tabs>
          <w:tab w:val="left" w:pos="3594"/>
        </w:tabs>
        <w:rPr>
          <w:rFonts w:ascii="Calibri" w:hAnsi="Calibri" w:cs="Calibri"/>
          <w:color w:val="AEAAAA" w:themeColor="background2" w:themeShade="BF"/>
          <w:sz w:val="20"/>
          <w:szCs w:val="20"/>
          <w:lang w:val="es-ES"/>
        </w:rPr>
      </w:pPr>
    </w:p>
    <w:p w:rsidR="00BE3FDB" w:rsidRDefault="00BE3FDB" w:rsidP="00BE3FDB">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Actos que la impetrante del proceso considera ilegales; pues </w:t>
      </w:r>
      <w:r>
        <w:rPr>
          <w:rFonts w:ascii="Calibri" w:hAnsi="Calibri" w:cs="Calibri"/>
          <w:b/>
          <w:color w:val="767171" w:themeColor="background2" w:themeShade="80"/>
          <w:sz w:val="26"/>
          <w:szCs w:val="26"/>
        </w:rPr>
        <w:t xml:space="preserve">negó lisa y llanamente, </w:t>
      </w:r>
      <w:r>
        <w:rPr>
          <w:rFonts w:ascii="Calibri" w:hAnsi="Calibri" w:cs="Calibri"/>
          <w:color w:val="767171" w:themeColor="background2" w:themeShade="80"/>
          <w:sz w:val="26"/>
          <w:szCs w:val="26"/>
        </w:rPr>
        <w:t xml:space="preserve">el haber incurrido en los hechos que se le imputaron, y que la boleta </w:t>
      </w:r>
      <w:r>
        <w:rPr>
          <w:rFonts w:ascii="Calibri" w:hAnsi="Calibri" w:cs="Calibri"/>
          <w:iCs/>
          <w:color w:val="767171" w:themeColor="background2" w:themeShade="80"/>
          <w:sz w:val="26"/>
          <w:szCs w:val="26"/>
        </w:rPr>
        <w:t>no se encuentra debidamente fundada ni motivada. . . . . . . . . . . . . . . . . . . . . . . . . .</w:t>
      </w:r>
    </w:p>
    <w:p w:rsidR="00BE3FDB" w:rsidRDefault="00BE3FDB" w:rsidP="00BE3FDB">
      <w:pPr>
        <w:pStyle w:val="Textoindependiente"/>
        <w:tabs>
          <w:tab w:val="left" w:pos="3594"/>
        </w:tabs>
        <w:rPr>
          <w:rFonts w:ascii="Calibri" w:hAnsi="Calibri" w:cs="Calibri"/>
          <w:iCs/>
          <w:color w:val="AEAAAA" w:themeColor="background2" w:themeShade="BF"/>
          <w:sz w:val="20"/>
          <w:szCs w:val="20"/>
        </w:rPr>
      </w:pPr>
    </w:p>
    <w:p w:rsidR="00BE3FDB" w:rsidRDefault="00BE3FDB" w:rsidP="00BE3FDB">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A lo expresado por la impugnadora, la Agente de Tránsito demandada, adujo que los conceptos de impugnación debían declararse infundados, inoperantes e insuficientes. . . . . . . . . . . . . . . . . . . . . . . . . . . . . . . . . . . . . . . . . . . . . . </w:t>
      </w:r>
    </w:p>
    <w:p w:rsidR="00BE3FDB" w:rsidRDefault="00BE3FDB" w:rsidP="00BE3FDB">
      <w:pPr>
        <w:jc w:val="both"/>
        <w:rPr>
          <w:rFonts w:ascii="Calibri" w:hAnsi="Calibri" w:cs="Calibri"/>
          <w:color w:val="AEAAAA" w:themeColor="background2" w:themeShade="BF"/>
          <w:sz w:val="20"/>
          <w:szCs w:val="20"/>
          <w:lang w:val="es-MX"/>
        </w:rPr>
      </w:pPr>
    </w:p>
    <w:p w:rsidR="00BE3FDB" w:rsidRDefault="00BE3FDB" w:rsidP="00BE3FD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Así las cosas, la </w:t>
      </w:r>
      <w:r>
        <w:rPr>
          <w:rFonts w:ascii="Calibri" w:hAnsi="Calibri" w:cs="Calibri"/>
          <w:i/>
          <w:color w:val="767171" w:themeColor="background2" w:themeShade="80"/>
          <w:sz w:val="26"/>
          <w:szCs w:val="26"/>
        </w:rPr>
        <w:t>“</w:t>
      </w:r>
      <w:proofErr w:type="spellStart"/>
      <w:r>
        <w:rPr>
          <w:rFonts w:ascii="Calibri" w:hAnsi="Calibri" w:cs="Calibri"/>
          <w:i/>
          <w:color w:val="767171" w:themeColor="background2" w:themeShade="80"/>
          <w:sz w:val="26"/>
          <w:szCs w:val="26"/>
        </w:rPr>
        <w:t>litis</w:t>
      </w:r>
      <w:proofErr w:type="spellEnd"/>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la devolución del monto pagado por concepto de las multas. . . </w:t>
      </w:r>
    </w:p>
    <w:p w:rsidR="00BE3FDB" w:rsidRDefault="00BE3FDB" w:rsidP="00BE3FDB">
      <w:pPr>
        <w:rPr>
          <w:color w:val="AEAAAA" w:themeColor="background2" w:themeShade="BF"/>
          <w:sz w:val="22"/>
        </w:rPr>
      </w:pPr>
    </w:p>
    <w:p w:rsidR="00BE3FDB" w:rsidRDefault="00BE3FDB" w:rsidP="00BE3FDB">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SEXTO.- </w:t>
      </w:r>
      <w:r>
        <w:rPr>
          <w:rFonts w:ascii="Calibri" w:hAnsi="Calibri" w:cs="Calibri"/>
          <w:color w:val="767171" w:themeColor="background2" w:themeShade="80"/>
          <w:sz w:val="26"/>
          <w:szCs w:val="26"/>
        </w:rPr>
        <w:t xml:space="preserve">No existiendo impedimento legal, </w:t>
      </w:r>
      <w:r>
        <w:rPr>
          <w:rFonts w:ascii="Calibri" w:hAnsi="Calibri" w:cs="Calibri"/>
          <w:color w:val="767171" w:themeColor="background2" w:themeShade="80"/>
          <w:sz w:val="26"/>
          <w:szCs w:val="26"/>
          <w:lang w:val="es-ES"/>
        </w:rPr>
        <w:t xml:space="preserve">se procede a analizar el concepto de impugnación hecho valer por el </w:t>
      </w:r>
      <w:proofErr w:type="spellStart"/>
      <w:r>
        <w:rPr>
          <w:rFonts w:ascii="Calibri" w:hAnsi="Calibri" w:cs="Calibri"/>
          <w:color w:val="767171" w:themeColor="background2" w:themeShade="80"/>
          <w:sz w:val="26"/>
          <w:szCs w:val="26"/>
          <w:lang w:val="es-ES"/>
        </w:rPr>
        <w:t>enjuiciante</w:t>
      </w:r>
      <w:proofErr w:type="spellEnd"/>
      <w:r>
        <w:rPr>
          <w:rFonts w:ascii="Calibri" w:hAnsi="Calibri" w:cs="Calibri"/>
          <w:color w:val="767171" w:themeColor="background2" w:themeShade="80"/>
          <w:sz w:val="26"/>
          <w:szCs w:val="26"/>
          <w:lang w:val="es-ES"/>
        </w:rPr>
        <w:t xml:space="preserve"> que se </w:t>
      </w:r>
      <w:r>
        <w:rPr>
          <w:rFonts w:ascii="Calibri" w:hAnsi="Calibri"/>
          <w:color w:val="767171" w:themeColor="background2" w:themeShade="80"/>
          <w:sz w:val="26"/>
        </w:rPr>
        <w:t xml:space="preserve">considera trascendental para emitir la presente resolución; como lo es el señalado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en sus incisos </w:t>
      </w:r>
      <w:r>
        <w:rPr>
          <w:rFonts w:ascii="Calibri" w:hAnsi="Calibri"/>
          <w:b/>
          <w:color w:val="767171" w:themeColor="background2" w:themeShade="80"/>
          <w:sz w:val="26"/>
        </w:rPr>
        <w:t>A</w:t>
      </w:r>
      <w:r>
        <w:rPr>
          <w:rFonts w:ascii="Calibri" w:hAnsi="Calibri"/>
          <w:color w:val="767171" w:themeColor="background2" w:themeShade="80"/>
          <w:sz w:val="26"/>
        </w:rPr>
        <w:t xml:space="preserve"> y </w:t>
      </w:r>
      <w:r>
        <w:rPr>
          <w:rFonts w:ascii="Calibri" w:hAnsi="Calibri"/>
          <w:b/>
          <w:color w:val="767171" w:themeColor="background2" w:themeShade="80"/>
          <w:sz w:val="26"/>
        </w:rPr>
        <w:t>B</w:t>
      </w:r>
      <w:r>
        <w:rPr>
          <w:rFonts w:ascii="Calibri" w:hAnsi="Calibri"/>
          <w:color w:val="767171" w:themeColor="background2" w:themeShade="80"/>
          <w:sz w:val="26"/>
        </w:rPr>
        <w:t xml:space="preserve">; aplicando para ello el principio de mayor consecuencia anulatoria de los actos impugnados y que pudiera traer mayor </w:t>
      </w:r>
    </w:p>
    <w:p w:rsidR="00BE3FDB" w:rsidRDefault="00BE3FDB" w:rsidP="00BE3FDB">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1060/2016-JN</w:t>
      </w:r>
    </w:p>
    <w:p w:rsidR="00BE3FDB" w:rsidRDefault="00BE3FDB" w:rsidP="00BE3FDB">
      <w:pPr>
        <w:pStyle w:val="Textoindependiente"/>
        <w:ind w:firstLine="708"/>
        <w:rPr>
          <w:rFonts w:ascii="Calibri" w:hAnsi="Calibri"/>
          <w:color w:val="767171" w:themeColor="background2" w:themeShade="80"/>
          <w:sz w:val="26"/>
        </w:rPr>
      </w:pPr>
    </w:p>
    <w:p w:rsidR="00BE3FDB" w:rsidRDefault="00BE3FDB" w:rsidP="00BE3FDB">
      <w:pPr>
        <w:pStyle w:val="Textoindependiente"/>
        <w:rPr>
          <w:rFonts w:ascii="Calibri" w:hAnsi="Calibri"/>
          <w:color w:val="767171" w:themeColor="background2" w:themeShade="80"/>
          <w:sz w:val="26"/>
        </w:rPr>
      </w:pPr>
      <w:r>
        <w:rPr>
          <w:rFonts w:ascii="Calibri" w:hAnsi="Calibri"/>
          <w:color w:val="767171" w:themeColor="background2" w:themeShade="80"/>
          <w:sz w:val="26"/>
        </w:rPr>
        <w:t xml:space="preserve">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 . . . . . . . . . . . </w:t>
      </w:r>
    </w:p>
    <w:p w:rsidR="00BE3FDB" w:rsidRDefault="00BE3FDB" w:rsidP="00BE3FDB">
      <w:pPr>
        <w:jc w:val="both"/>
        <w:rPr>
          <w:color w:val="767171" w:themeColor="background2" w:themeShade="80"/>
          <w:lang w:val="es-MX"/>
        </w:rPr>
      </w:pPr>
    </w:p>
    <w:p w:rsidR="00BE3FDB" w:rsidRDefault="00BE3FDB" w:rsidP="00BE3FDB">
      <w:pPr>
        <w:ind w:firstLine="708"/>
        <w:jc w:val="both"/>
        <w:rPr>
          <w:rFonts w:ascii="Calibri" w:hAnsi="Calibri"/>
          <w:i/>
          <w:iCs/>
          <w:color w:val="767171" w:themeColor="background2" w:themeShade="80"/>
          <w:sz w:val="26"/>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2"/>
        </w:rPr>
        <w:t>SEGUNDO TRIBUNAL COLEGIADO DEL SEXTO CIRCUITO. No. Registro: 196,477. Jurisprudencia, Materia(s):</w:t>
      </w:r>
      <w:r>
        <w:rPr>
          <w:rFonts w:ascii="Calibri" w:hAnsi="Calibri" w:cs="Calibri"/>
          <w:color w:val="767171" w:themeColor="background2" w:themeShade="80"/>
          <w:sz w:val="26"/>
          <w:szCs w:val="26"/>
        </w:rPr>
        <w:t xml:space="preserve"> </w:t>
      </w:r>
      <w:r>
        <w:rPr>
          <w:rFonts w:ascii="Calibri" w:hAnsi="Calibri" w:cs="Calibri"/>
          <w:i/>
          <w:iCs/>
          <w:color w:val="767171" w:themeColor="background2" w:themeShade="80"/>
          <w:sz w:val="22"/>
        </w:rPr>
        <w:t xml:space="preserve">Común, Novena Época, Instancia: Tribunales Colegiados de Circuito, Fuente: Semanario Judicial de la Federación y su Gaceta. VII, Abril de 1998, Tesis: VI.2o. J/129. Página: 599”. </w:t>
      </w:r>
      <w:r>
        <w:rPr>
          <w:rFonts w:ascii="Calibri" w:hAnsi="Calibri" w:cs="Calibri"/>
          <w:i/>
          <w:iCs/>
          <w:color w:val="767171" w:themeColor="background2" w:themeShade="80"/>
          <w:sz w:val="26"/>
        </w:rPr>
        <w:t xml:space="preserve">. . . . . . . . . . . . . . . . . . . . . . . . . . . . . . . . . . . . . . . . . . . . . . . . . . . . . . . . . . . . . . . . . </w:t>
      </w:r>
    </w:p>
    <w:p w:rsidR="00BE3FDB" w:rsidRDefault="00BE3FDB" w:rsidP="00BE3FDB">
      <w:pPr>
        <w:ind w:firstLine="708"/>
        <w:jc w:val="both"/>
        <w:rPr>
          <w:rFonts w:ascii="Calibri" w:hAnsi="Calibri" w:cs="Calibri"/>
          <w:i/>
          <w:iCs/>
          <w:color w:val="767171" w:themeColor="background2" w:themeShade="80"/>
          <w:sz w:val="22"/>
        </w:rPr>
      </w:pPr>
    </w:p>
    <w:p w:rsidR="00BE3FDB" w:rsidRDefault="00BE3FDB" w:rsidP="00BE3FDB">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señalado, el actor expuso: </w:t>
      </w:r>
      <w:r>
        <w:rPr>
          <w:rFonts w:ascii="Calibri" w:hAnsi="Calibri" w:cs="Calibri"/>
          <w:b/>
          <w:i/>
          <w:color w:val="767171" w:themeColor="background2" w:themeShade="80"/>
          <w:sz w:val="26"/>
          <w:szCs w:val="26"/>
        </w:rPr>
        <w:t>“El acto impugnado</w:t>
      </w:r>
      <w:r>
        <w:rPr>
          <w:rFonts w:ascii="Calibri" w:hAnsi="Calibri" w:cs="Calibri"/>
          <w:i/>
          <w:color w:val="767171" w:themeColor="background2" w:themeShade="80"/>
          <w:sz w:val="26"/>
          <w:szCs w:val="26"/>
        </w:rPr>
        <w:t>… vulnera mis derechos en virtud de que se emitió sin cumplir con el requisito…. De la debida fundamentación y motivación…</w:t>
      </w:r>
      <w:proofErr w:type="gramStart"/>
      <w:r>
        <w:rPr>
          <w:rFonts w:ascii="Calibri" w:hAnsi="Calibri" w:cs="Calibri"/>
          <w:i/>
          <w:color w:val="767171" w:themeColor="background2" w:themeShade="80"/>
          <w:sz w:val="26"/>
          <w:szCs w:val="26"/>
        </w:rPr>
        <w:t>” .</w:t>
      </w:r>
      <w:proofErr w:type="gramEnd"/>
      <w:r>
        <w:rPr>
          <w:rFonts w:ascii="Calibri" w:hAnsi="Calibri" w:cs="Calibri"/>
          <w:i/>
          <w:color w:val="767171" w:themeColor="background2" w:themeShade="80"/>
          <w:sz w:val="26"/>
          <w:szCs w:val="26"/>
        </w:rPr>
        <w:t xml:space="preserve"> . . . . . . . </w:t>
      </w:r>
    </w:p>
    <w:p w:rsidR="00BE3FDB" w:rsidRDefault="00BE3FDB" w:rsidP="00BE3FDB">
      <w:pPr>
        <w:jc w:val="both"/>
        <w:rPr>
          <w:rFonts w:ascii="Calibri" w:hAnsi="Calibri" w:cs="Calibri"/>
          <w:b/>
          <w:i/>
          <w:color w:val="AEAAAA" w:themeColor="background2" w:themeShade="BF"/>
          <w:sz w:val="20"/>
          <w:szCs w:val="20"/>
        </w:rPr>
      </w:pPr>
    </w:p>
    <w:p w:rsidR="00BE3FDB" w:rsidRDefault="00BE3FDB" w:rsidP="00BE3FD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Y en el inciso </w:t>
      </w:r>
      <w:proofErr w:type="gramStart"/>
      <w:r>
        <w:rPr>
          <w:rFonts w:ascii="Calibri" w:hAnsi="Calibri" w:cs="Calibri"/>
          <w:color w:val="767171" w:themeColor="background2" w:themeShade="80"/>
          <w:sz w:val="26"/>
          <w:szCs w:val="26"/>
        </w:rPr>
        <w:t>A :</w:t>
      </w:r>
      <w:proofErr w:type="gramEnd"/>
      <w:r>
        <w:rPr>
          <w:rFonts w:ascii="Calibri" w:hAnsi="Calibri" w:cs="Calibri"/>
          <w:i/>
          <w:color w:val="767171" w:themeColor="background2" w:themeShade="80"/>
          <w:sz w:val="26"/>
          <w:szCs w:val="26"/>
        </w:rPr>
        <w:t xml:space="preserve"> “En cuanto al primer motivo…. Con relación a los </w:t>
      </w:r>
      <w:r>
        <w:rPr>
          <w:rFonts w:ascii="Calibri" w:hAnsi="Calibri" w:cs="Calibri"/>
          <w:b/>
          <w:i/>
          <w:color w:val="767171" w:themeColor="background2" w:themeShade="80"/>
          <w:sz w:val="26"/>
          <w:szCs w:val="26"/>
        </w:rPr>
        <w:t>MOTIVOS DE LA INFRACCIÓN</w:t>
      </w:r>
      <w:r>
        <w:rPr>
          <w:rFonts w:ascii="Calibri" w:hAnsi="Calibri" w:cs="Calibri"/>
          <w:i/>
          <w:color w:val="767171" w:themeColor="background2" w:themeShade="80"/>
          <w:sz w:val="26"/>
          <w:szCs w:val="26"/>
        </w:rPr>
        <w:t xml:space="preserve"> el ahora demandado establece: … ‘</w:t>
      </w:r>
      <w:r>
        <w:rPr>
          <w:rFonts w:ascii="Calibri" w:hAnsi="Calibri" w:cs="Calibri"/>
          <w:b/>
          <w:i/>
          <w:iCs/>
          <w:color w:val="767171" w:themeColor="background2" w:themeShade="80"/>
          <w:sz w:val="26"/>
          <w:szCs w:val="26"/>
        </w:rPr>
        <w:t>Por estacionar vehículo de motor en el espacio asignado para el peatón (banqueta)</w:t>
      </w:r>
      <w:r>
        <w:rPr>
          <w:rFonts w:ascii="Calibri" w:hAnsi="Calibri" w:cs="Calibri"/>
          <w:i/>
          <w:color w:val="767171" w:themeColor="background2" w:themeShade="80"/>
          <w:sz w:val="26"/>
          <w:szCs w:val="26"/>
        </w:rPr>
        <w:t xml:space="preserve">…… “sobre el recorrido me percato del vehículo antes mencionado”… siendo claro que la aseveración anterior es bastante escueta e insuficiente… la autoridad no hace una explicación precisa y concreta de la supuesta falta administrativa… no señala la forma o la manera en la que se percató de que el vehículo….. </w:t>
      </w:r>
      <w:proofErr w:type="gramStart"/>
      <w:r>
        <w:rPr>
          <w:rFonts w:ascii="Calibri" w:hAnsi="Calibri" w:cs="Calibri"/>
          <w:i/>
          <w:color w:val="767171" w:themeColor="background2" w:themeShade="80"/>
          <w:sz w:val="26"/>
          <w:szCs w:val="26"/>
        </w:rPr>
        <w:t>se</w:t>
      </w:r>
      <w:proofErr w:type="gramEnd"/>
      <w:r>
        <w:rPr>
          <w:rFonts w:ascii="Calibri" w:hAnsi="Calibri" w:cs="Calibri"/>
          <w:i/>
          <w:color w:val="767171" w:themeColor="background2" w:themeShade="80"/>
          <w:sz w:val="26"/>
          <w:szCs w:val="26"/>
        </w:rPr>
        <w:t xml:space="preserve"> encontraba estacionado en la banqueta…” . . . .</w:t>
      </w:r>
      <w:r>
        <w:rPr>
          <w:rFonts w:ascii="Calibri" w:hAnsi="Calibri" w:cs="Calibri"/>
          <w:color w:val="767171" w:themeColor="background2" w:themeShade="80"/>
          <w:sz w:val="26"/>
          <w:szCs w:val="26"/>
        </w:rPr>
        <w:t xml:space="preserve"> . . . . . . . . . . . . . . . . . . . . . . . . . . . . . . . . . . . . . . </w:t>
      </w:r>
    </w:p>
    <w:p w:rsidR="00BE3FDB" w:rsidRDefault="00BE3FDB" w:rsidP="00BE3FDB">
      <w:pPr>
        <w:jc w:val="both"/>
        <w:rPr>
          <w:rFonts w:ascii="Calibri" w:hAnsi="Calibri" w:cs="Calibri"/>
          <w:i/>
          <w:color w:val="AEAAAA" w:themeColor="background2" w:themeShade="BF"/>
          <w:sz w:val="20"/>
          <w:szCs w:val="20"/>
        </w:rPr>
      </w:pPr>
    </w:p>
    <w:p w:rsidR="00BE3FDB" w:rsidRDefault="00BE3FDB" w:rsidP="00BE3FDB">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Por su parte, la Agente de Tránsito, al contestar la demanda, solo refirió que la boleta impugnada se encuentra debidamente fundada y motivada. . . . . . . </w:t>
      </w:r>
    </w:p>
    <w:p w:rsidR="00BE3FDB" w:rsidRDefault="00BE3FDB" w:rsidP="00BE3FDB">
      <w:pPr>
        <w:jc w:val="both"/>
        <w:rPr>
          <w:rFonts w:asciiTheme="minorHAnsi" w:hAnsiTheme="minorHAnsi" w:cstheme="minorHAnsi"/>
          <w:i/>
          <w:color w:val="767171" w:themeColor="background2" w:themeShade="80"/>
          <w:sz w:val="20"/>
          <w:szCs w:val="20"/>
        </w:rPr>
      </w:pPr>
    </w:p>
    <w:p w:rsidR="00BE3FDB" w:rsidRDefault="00BE3FDB" w:rsidP="00BE3FDB">
      <w:pPr>
        <w:ind w:firstLine="708"/>
        <w:jc w:val="both"/>
        <w:rPr>
          <w:rFonts w:asciiTheme="minorHAnsi" w:hAnsiTheme="minorHAnsi" w:cstheme="minorHAnsi"/>
          <w:bCs/>
          <w:color w:val="767171" w:themeColor="background2" w:themeShade="80"/>
          <w:sz w:val="26"/>
          <w:szCs w:val="26"/>
        </w:rPr>
      </w:pPr>
      <w:r>
        <w:rPr>
          <w:rFonts w:asciiTheme="minorHAnsi" w:hAnsiTheme="minorHAnsi" w:cstheme="minorHAnsi"/>
          <w:bCs/>
          <w:color w:val="767171" w:themeColor="background2" w:themeShade="80"/>
          <w:sz w:val="26"/>
          <w:szCs w:val="26"/>
        </w:rPr>
        <w:t xml:space="preserve">Una vez analizada el acta de infracción impugnada, para quien resuelve, resulta </w:t>
      </w:r>
      <w:r>
        <w:rPr>
          <w:rFonts w:asciiTheme="minorHAnsi" w:hAnsiTheme="minorHAnsi" w:cstheme="minorHAnsi"/>
          <w:b/>
          <w:bCs/>
          <w:color w:val="767171" w:themeColor="background2" w:themeShade="80"/>
          <w:sz w:val="26"/>
          <w:szCs w:val="26"/>
        </w:rPr>
        <w:t>fundado</w:t>
      </w:r>
      <w:r>
        <w:rPr>
          <w:rFonts w:asciiTheme="minorHAnsi" w:hAnsiTheme="minorHAnsi" w:cstheme="minorHAnsi"/>
          <w:bCs/>
          <w:color w:val="767171" w:themeColor="background2" w:themeShade="80"/>
          <w:sz w:val="26"/>
          <w:szCs w:val="26"/>
        </w:rPr>
        <w:t xml:space="preserve"> lo planteado en el concepto de impugnación en estudio; pues efectivamente la Agente de Tránsito enjuiciada, omitió motivar debidamente el acta de infracción; ya que si bien es cierto, señaló el ordenamiento y precepto que consideró infringidos -artículo 16, fracción IX,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 . . . . . . . . . . . . . . . . . . . . . . . . . . . . . . . . . . . . . . . . . .</w:t>
      </w:r>
    </w:p>
    <w:p w:rsidR="00BE3FDB" w:rsidRDefault="00BE3FDB" w:rsidP="00BE3FDB">
      <w:pPr>
        <w:ind w:firstLine="708"/>
        <w:jc w:val="both"/>
        <w:rPr>
          <w:rFonts w:asciiTheme="minorHAnsi" w:hAnsiTheme="minorHAnsi" w:cstheme="minorHAnsi"/>
          <w:bCs/>
          <w:color w:val="AEAAAA" w:themeColor="background2" w:themeShade="BF"/>
          <w:sz w:val="20"/>
          <w:szCs w:val="20"/>
        </w:rPr>
      </w:pPr>
    </w:p>
    <w:p w:rsidR="00BE3FDB" w:rsidRDefault="00BE3FDB" w:rsidP="00BE3FDB">
      <w:pPr>
        <w:jc w:val="both"/>
        <w:rPr>
          <w:rFonts w:asciiTheme="minorHAnsi" w:hAnsiTheme="minorHAnsi" w:cstheme="minorHAnsi"/>
          <w:bCs/>
          <w:color w:val="767171" w:themeColor="background2" w:themeShade="80"/>
          <w:sz w:val="26"/>
          <w:szCs w:val="26"/>
        </w:rPr>
      </w:pPr>
      <w:r>
        <w:rPr>
          <w:rFonts w:asciiTheme="minorHAnsi" w:hAnsiTheme="minorHAnsi" w:cstheme="minorHAnsi"/>
          <w:bCs/>
          <w:color w:val="AEAAAA" w:themeColor="background2" w:themeShade="BF"/>
          <w:sz w:val="26"/>
          <w:szCs w:val="26"/>
        </w:rPr>
        <w:tab/>
      </w:r>
      <w:r>
        <w:rPr>
          <w:rFonts w:asciiTheme="minorHAnsi" w:hAnsiTheme="minorHAnsi" w:cstheme="minorHAnsi"/>
          <w:bCs/>
          <w:color w:val="767171" w:themeColor="background2" w:themeShade="80"/>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Pr>
          <w:rFonts w:asciiTheme="minorHAnsi" w:hAnsiTheme="minorHAnsi" w:cstheme="minorHAnsi"/>
          <w:bCs/>
          <w:color w:val="767171" w:themeColor="background2" w:themeShade="80"/>
          <w:sz w:val="26"/>
          <w:szCs w:val="26"/>
        </w:rPr>
        <w:t>subincisos</w:t>
      </w:r>
      <w:proofErr w:type="spellEnd"/>
      <w:r>
        <w:rPr>
          <w:rFonts w:asciiTheme="minorHAnsi" w:hAnsiTheme="minorHAnsi" w:cstheme="minorHAnsi"/>
          <w:bCs/>
          <w:color w:val="767171" w:themeColor="background2" w:themeShade="80"/>
          <w:sz w:val="26"/>
          <w:szCs w:val="26"/>
        </w:rPr>
        <w:t xml:space="preserve"> que en su caso resulte aplicable, así como la descripción pormenorizada de las circunstancias que dan motivo para levantar el acta de infracción, de la que se desprenda con claridad que la conducta del gobernado, percibida por la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w:t>
      </w:r>
      <w:r>
        <w:rPr>
          <w:rFonts w:asciiTheme="minorHAnsi" w:hAnsiTheme="minorHAnsi" w:cstheme="minorHAnsi"/>
          <w:bCs/>
          <w:color w:val="767171" w:themeColor="background2" w:themeShade="80"/>
          <w:sz w:val="26"/>
          <w:szCs w:val="26"/>
        </w:rPr>
        <w:lastRenderedPageBreak/>
        <w:t xml:space="preserve">insuficiente o imprecisa, que impida la finalidad del conocimiento, comprobación y defensa pertinente, porque la prevalencia del dicho de la autoridad, puede dar lugar a arbitrariedades que deben reducirse al mínimo posible. . . . . . . . . . . . . . . . </w:t>
      </w:r>
    </w:p>
    <w:p w:rsidR="00BE3FDB" w:rsidRDefault="00BE3FDB" w:rsidP="00BE3FDB">
      <w:pPr>
        <w:ind w:firstLine="708"/>
        <w:jc w:val="both"/>
        <w:rPr>
          <w:rFonts w:asciiTheme="minorHAnsi" w:hAnsiTheme="minorHAnsi" w:cstheme="minorHAnsi"/>
          <w:bCs/>
          <w:color w:val="767171" w:themeColor="background2" w:themeShade="80"/>
          <w:sz w:val="20"/>
          <w:szCs w:val="20"/>
        </w:rPr>
      </w:pPr>
      <w:r>
        <w:rPr>
          <w:rFonts w:asciiTheme="minorHAnsi" w:hAnsiTheme="minorHAnsi" w:cstheme="minorHAnsi"/>
          <w:bCs/>
          <w:color w:val="AEAAAA" w:themeColor="background2" w:themeShade="BF"/>
          <w:sz w:val="26"/>
          <w:szCs w:val="26"/>
        </w:rPr>
        <w:tab/>
      </w:r>
    </w:p>
    <w:p w:rsidR="00BE3FDB" w:rsidRDefault="00BE3FDB" w:rsidP="00BE3FDB">
      <w:pPr>
        <w:jc w:val="both"/>
        <w:rPr>
          <w:rFonts w:asciiTheme="minorHAnsi" w:hAnsiTheme="minorHAnsi" w:cstheme="minorHAnsi"/>
          <w:color w:val="767171" w:themeColor="background2" w:themeShade="80"/>
          <w:sz w:val="26"/>
          <w:szCs w:val="26"/>
        </w:rPr>
      </w:pPr>
      <w:r>
        <w:rPr>
          <w:rFonts w:asciiTheme="minorHAnsi" w:hAnsiTheme="minorHAnsi" w:cstheme="minorHAnsi"/>
          <w:bCs/>
          <w:color w:val="767171" w:themeColor="background2" w:themeShade="80"/>
          <w:sz w:val="26"/>
          <w:szCs w:val="26"/>
        </w:rPr>
        <w:tab/>
        <w:t xml:space="preserve">Es el caso que en el acta impugnada, la Agente de Tránsito enjuiciada,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quien conducía el vehículo; pues no razonó ni explicó si el vehículo estaba total o parcialmente estacionado sobre la banqueta; si existía o no alguna causa o motivo para ello; si en el lugar está permitido o no estacionarse; así como tampoco precisó sobre la banqueta de cual vialidad (Bulevar Adolfo López Mateos o calle Donato Guerra) estaba estacionado, ya que como referencia mencionó: </w:t>
      </w:r>
      <w:r>
        <w:rPr>
          <w:rFonts w:asciiTheme="minorHAnsi" w:hAnsiTheme="minorHAnsi" w:cstheme="minorHAnsi"/>
          <w:bCs/>
          <w:i/>
          <w:color w:val="767171" w:themeColor="background2" w:themeShade="80"/>
          <w:sz w:val="26"/>
          <w:szCs w:val="26"/>
        </w:rPr>
        <w:t xml:space="preserve">“frente a Fundación </w:t>
      </w:r>
      <w:proofErr w:type="spellStart"/>
      <w:r>
        <w:rPr>
          <w:rFonts w:asciiTheme="minorHAnsi" w:hAnsiTheme="minorHAnsi" w:cstheme="minorHAnsi"/>
          <w:bCs/>
          <w:i/>
          <w:color w:val="767171" w:themeColor="background2" w:themeShade="80"/>
          <w:sz w:val="26"/>
          <w:szCs w:val="26"/>
        </w:rPr>
        <w:t>Dondé</w:t>
      </w:r>
      <w:proofErr w:type="spellEnd"/>
      <w:r>
        <w:rPr>
          <w:rFonts w:asciiTheme="minorHAnsi" w:hAnsiTheme="minorHAnsi" w:cstheme="minorHAnsi"/>
          <w:i/>
          <w:color w:val="767171" w:themeColor="background2" w:themeShade="80"/>
          <w:sz w:val="26"/>
          <w:szCs w:val="26"/>
        </w:rPr>
        <w:t>;</w:t>
      </w:r>
      <w:r>
        <w:rPr>
          <w:rFonts w:asciiTheme="minorHAnsi" w:hAnsiTheme="minorHAnsi" w:cstheme="minorHAnsi"/>
          <w:color w:val="767171" w:themeColor="background2" w:themeShade="80"/>
          <w:sz w:val="26"/>
          <w:szCs w:val="26"/>
        </w:rPr>
        <w:t xml:space="preserve"> lo </w:t>
      </w:r>
      <w:r>
        <w:rPr>
          <w:rFonts w:asciiTheme="minorHAnsi" w:hAnsiTheme="minorHAnsi" w:cstheme="minorHAnsi"/>
          <w:bCs/>
          <w:color w:val="767171" w:themeColor="background2" w:themeShade="80"/>
          <w:sz w:val="26"/>
          <w:szCs w:val="26"/>
        </w:rPr>
        <w:t xml:space="preserve">que resultaba necesario para considerar la boleta suficientemente motivada y así poder </w:t>
      </w:r>
      <w:r>
        <w:rPr>
          <w:rFonts w:asciiTheme="minorHAnsi" w:hAnsiTheme="minorHAnsi" w:cstheme="minorHAnsi"/>
          <w:color w:val="767171" w:themeColor="background2" w:themeShade="80"/>
          <w:sz w:val="26"/>
          <w:szCs w:val="26"/>
        </w:rPr>
        <w:t xml:space="preserve">encuadrar la conducta en el precepto que la Agente demandada citó como infringido; toda vez que dicho precepto en su fracción IX, establece que: </w:t>
      </w:r>
      <w:r>
        <w:rPr>
          <w:rFonts w:asciiTheme="minorHAnsi" w:hAnsiTheme="minorHAnsi" w:cstheme="minorHAnsi"/>
          <w:i/>
          <w:color w:val="767171" w:themeColor="background2" w:themeShade="80"/>
          <w:sz w:val="26"/>
          <w:szCs w:val="26"/>
        </w:rPr>
        <w:t xml:space="preserve">“Se prohíbe estacionar… sobre las aceras, camellones, andadores, retornos, isletas u otras vías y espacios reservados a peatones; </w:t>
      </w:r>
      <w:r>
        <w:rPr>
          <w:rFonts w:asciiTheme="minorHAnsi" w:hAnsiTheme="minorHAnsi" w:cstheme="minorHAnsi"/>
          <w:color w:val="767171" w:themeColor="background2" w:themeShade="80"/>
          <w:sz w:val="26"/>
          <w:szCs w:val="26"/>
        </w:rPr>
        <w:t xml:space="preserve">por lo que resultaba necesario que la enjuiciada, consignara en el acta controvertida, cual fue la conducta desarrollada y la descripción precisa de la ubicación donde se </w:t>
      </w:r>
    </w:p>
    <w:p w:rsidR="00BE3FDB" w:rsidRDefault="00BE3FDB" w:rsidP="00BE3FDB">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1060/2016-JN</w:t>
      </w:r>
    </w:p>
    <w:p w:rsidR="00BE3FDB" w:rsidRDefault="00BE3FDB" w:rsidP="00BE3FDB">
      <w:pPr>
        <w:jc w:val="both"/>
        <w:rPr>
          <w:rFonts w:asciiTheme="minorHAnsi" w:hAnsiTheme="minorHAnsi" w:cstheme="minorHAnsi"/>
          <w:color w:val="767171" w:themeColor="background2" w:themeShade="80"/>
          <w:sz w:val="26"/>
          <w:szCs w:val="26"/>
        </w:rPr>
      </w:pPr>
    </w:p>
    <w:p w:rsidR="00BE3FDB" w:rsidRDefault="00BE3FDB" w:rsidP="00BE3FDB">
      <w:pPr>
        <w:jc w:val="both"/>
        <w:rPr>
          <w:rFonts w:asciiTheme="minorHAnsi" w:hAnsiTheme="minorHAnsi" w:cstheme="minorHAnsi"/>
          <w:bCs/>
          <w:color w:val="767171" w:themeColor="background2" w:themeShade="80"/>
          <w:sz w:val="26"/>
          <w:szCs w:val="26"/>
        </w:rPr>
      </w:pPr>
      <w:r>
        <w:rPr>
          <w:rFonts w:asciiTheme="minorHAnsi" w:hAnsiTheme="minorHAnsi" w:cstheme="minorHAnsi"/>
          <w:color w:val="767171" w:themeColor="background2" w:themeShade="80"/>
          <w:sz w:val="26"/>
          <w:szCs w:val="26"/>
        </w:rPr>
        <w:t xml:space="preserve">estacionó el vehículo, a efecto de determinar si estaba sobre la acera o banqueta; </w:t>
      </w:r>
      <w:r>
        <w:rPr>
          <w:rFonts w:asciiTheme="minorHAnsi" w:hAnsiTheme="minorHAnsi" w:cstheme="minorHAnsi"/>
          <w:bCs/>
          <w:color w:val="767171" w:themeColor="background2" w:themeShade="80"/>
          <w:sz w:val="26"/>
          <w:szCs w:val="26"/>
        </w:rPr>
        <w:t>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 . . . . . . . . . . . .</w:t>
      </w:r>
    </w:p>
    <w:p w:rsidR="00BE3FDB" w:rsidRDefault="00BE3FDB" w:rsidP="00BE3FDB">
      <w:pPr>
        <w:jc w:val="both"/>
        <w:rPr>
          <w:rFonts w:asciiTheme="minorHAnsi" w:hAnsiTheme="minorHAnsi" w:cstheme="minorHAnsi"/>
          <w:bCs/>
          <w:color w:val="AEAAAA" w:themeColor="background2" w:themeShade="BF"/>
          <w:sz w:val="20"/>
          <w:szCs w:val="20"/>
        </w:rPr>
      </w:pPr>
    </w:p>
    <w:p w:rsidR="00BE3FDB" w:rsidRDefault="00BE3FDB" w:rsidP="00BE3FDB">
      <w:pPr>
        <w:jc w:val="both"/>
        <w:rPr>
          <w:rFonts w:asciiTheme="minorHAnsi" w:hAnsiTheme="minorHAnsi" w:cstheme="minorHAnsi"/>
          <w:bCs/>
          <w:color w:val="767171" w:themeColor="background2" w:themeShade="80"/>
          <w:sz w:val="26"/>
          <w:szCs w:val="26"/>
        </w:rPr>
      </w:pPr>
      <w:r>
        <w:rPr>
          <w:rFonts w:asciiTheme="minorHAnsi" w:hAnsiTheme="minorHAnsi" w:cstheme="minorHAnsi"/>
          <w:bCs/>
          <w:color w:val="767171" w:themeColor="background2" w:themeShade="80"/>
          <w:sz w:val="26"/>
          <w:szCs w:val="26"/>
        </w:rPr>
        <w:tab/>
        <w:t xml:space="preserve">Ahora bien, respecto de la segunda infracción contenida en la boleta, se señaló en el inciso B que no se tiene la certeza de que haya sido la propietaria del vehículo la que profirió los insultos que anotó la agente en la boleta. . . . . . . . . . . . </w:t>
      </w:r>
    </w:p>
    <w:p w:rsidR="00BE3FDB" w:rsidRDefault="00BE3FDB" w:rsidP="00BE3FDB">
      <w:pPr>
        <w:jc w:val="both"/>
        <w:rPr>
          <w:rFonts w:asciiTheme="minorHAnsi" w:hAnsiTheme="minorHAnsi" w:cstheme="minorHAnsi"/>
          <w:bCs/>
          <w:color w:val="AEAAAA" w:themeColor="background2" w:themeShade="BF"/>
          <w:sz w:val="26"/>
          <w:szCs w:val="26"/>
        </w:rPr>
      </w:pPr>
    </w:p>
    <w:p w:rsidR="00BE3FDB" w:rsidRDefault="00BE3FDB" w:rsidP="00BE3FDB">
      <w:pPr>
        <w:ind w:firstLine="708"/>
        <w:jc w:val="both"/>
        <w:rPr>
          <w:rFonts w:ascii="Calibri" w:hAnsi="Calibri" w:cs="Calibri"/>
          <w:color w:val="767171" w:themeColor="background2" w:themeShade="80"/>
          <w:sz w:val="26"/>
          <w:szCs w:val="26"/>
        </w:rPr>
      </w:pPr>
      <w:r>
        <w:rPr>
          <w:rFonts w:asciiTheme="minorHAnsi" w:hAnsiTheme="minorHAnsi" w:cstheme="minorHAnsi"/>
          <w:bCs/>
          <w:color w:val="767171" w:themeColor="background2" w:themeShade="80"/>
          <w:sz w:val="26"/>
          <w:szCs w:val="26"/>
        </w:rPr>
        <w:t xml:space="preserve">En tanto que la agente demandada, sostuvo simplemente, la legalidad de la boleta emitida. </w:t>
      </w:r>
      <w:r>
        <w:rPr>
          <w:rFonts w:ascii="Calibri" w:hAnsi="Calibri" w:cs="Calibri"/>
          <w:color w:val="767171" w:themeColor="background2" w:themeShade="80"/>
          <w:sz w:val="26"/>
          <w:szCs w:val="26"/>
        </w:rPr>
        <w:t xml:space="preserve">. . . . . . . . . . . . . . . . . . . . . . . . . . . . . . . . . . . . . . . . . . . . . . . . . . . . . . </w:t>
      </w:r>
    </w:p>
    <w:p w:rsidR="00BE3FDB" w:rsidRDefault="00BE3FDB" w:rsidP="00BE3FDB">
      <w:pPr>
        <w:jc w:val="both"/>
        <w:rPr>
          <w:rFonts w:asciiTheme="minorHAnsi" w:hAnsiTheme="minorHAnsi" w:cstheme="minorHAnsi"/>
          <w:bCs/>
          <w:color w:val="AEAAAA" w:themeColor="background2" w:themeShade="BF"/>
          <w:sz w:val="26"/>
          <w:szCs w:val="26"/>
        </w:rPr>
      </w:pPr>
    </w:p>
    <w:p w:rsidR="00BE3FDB" w:rsidRDefault="00BE3FDB" w:rsidP="00BE3FDB">
      <w:pPr>
        <w:ind w:firstLine="708"/>
        <w:jc w:val="both"/>
        <w:rPr>
          <w:rFonts w:asciiTheme="minorHAnsi" w:hAnsiTheme="minorHAnsi" w:cstheme="minorHAnsi"/>
          <w:bCs/>
          <w:color w:val="767171" w:themeColor="background2" w:themeShade="80"/>
          <w:sz w:val="26"/>
          <w:szCs w:val="26"/>
        </w:rPr>
      </w:pPr>
      <w:r>
        <w:rPr>
          <w:rFonts w:ascii="Calibri" w:hAnsi="Calibri" w:cs="Calibri"/>
          <w:color w:val="767171" w:themeColor="background2" w:themeShade="80"/>
          <w:sz w:val="26"/>
          <w:szCs w:val="26"/>
        </w:rPr>
        <w:t xml:space="preserve">A juicio de quien resuelve, también es fundado tal argumento; en razón de que </w:t>
      </w:r>
      <w:r>
        <w:rPr>
          <w:rFonts w:asciiTheme="minorHAnsi" w:hAnsiTheme="minorHAnsi" w:cstheme="minorHAnsi"/>
          <w:bCs/>
          <w:color w:val="767171" w:themeColor="background2" w:themeShade="80"/>
          <w:sz w:val="26"/>
          <w:szCs w:val="26"/>
        </w:rPr>
        <w:t xml:space="preserve">la Agente enjuiciada tampoco motivó debidamente el Acta controvertida en </w:t>
      </w:r>
      <w:r>
        <w:rPr>
          <w:rFonts w:asciiTheme="minorHAnsi" w:hAnsiTheme="minorHAnsi" w:cstheme="minorHAnsi"/>
          <w:bCs/>
          <w:color w:val="767171" w:themeColor="background2" w:themeShade="80"/>
          <w:sz w:val="26"/>
          <w:szCs w:val="26"/>
        </w:rPr>
        <w:lastRenderedPageBreak/>
        <w:t xml:space="preserve">cuanto a tal infracción; pues el precepto y fracción señalado como vulnerado (artículo 8, fracción XIII, del Reglamento de Tránsito Municipal);  se refiere a la prohibición de insultar o denigrar a los agentes de Tránsito; siendo que de la redacción de los hechos no se desprende como se dio esa infracción; pues solo se anotó: </w:t>
      </w:r>
      <w:r>
        <w:rPr>
          <w:rFonts w:ascii="Calibri" w:hAnsi="Calibri" w:cs="Calibri"/>
          <w:i/>
          <w:iCs/>
          <w:color w:val="767171" w:themeColor="background2" w:themeShade="80"/>
          <w:sz w:val="26"/>
          <w:szCs w:val="26"/>
        </w:rPr>
        <w:t>“Por insultar denigrar al Agente de Tránsito”;</w:t>
      </w:r>
      <w:r>
        <w:rPr>
          <w:rFonts w:asciiTheme="minorHAnsi" w:hAnsiTheme="minorHAnsi" w:cstheme="minorHAnsi"/>
          <w:bCs/>
          <w:i/>
          <w:color w:val="767171" w:themeColor="background2" w:themeShade="80"/>
          <w:sz w:val="26"/>
          <w:szCs w:val="26"/>
        </w:rPr>
        <w:t xml:space="preserve"> </w:t>
      </w:r>
      <w:r>
        <w:rPr>
          <w:rFonts w:asciiTheme="minorHAnsi" w:hAnsiTheme="minorHAnsi" w:cstheme="minorHAnsi"/>
          <w:bCs/>
          <w:color w:val="767171" w:themeColor="background2" w:themeShade="80"/>
          <w:sz w:val="26"/>
          <w:szCs w:val="26"/>
        </w:rPr>
        <w:t xml:space="preserve">pero no explicó si se hizo de manera general a los agentes de tránsito, o específicamente a la ahora demandada; ni quedó precisada la persona que profirió los insultos descritos, por lo que no existe evidencia para </w:t>
      </w:r>
      <w:proofErr w:type="spellStart"/>
      <w:r>
        <w:rPr>
          <w:rFonts w:asciiTheme="minorHAnsi" w:hAnsiTheme="minorHAnsi" w:cstheme="minorHAnsi"/>
          <w:bCs/>
          <w:color w:val="767171" w:themeColor="background2" w:themeShade="80"/>
          <w:sz w:val="26"/>
          <w:szCs w:val="26"/>
        </w:rPr>
        <w:t>atribuírle</w:t>
      </w:r>
      <w:proofErr w:type="spellEnd"/>
      <w:r>
        <w:rPr>
          <w:rFonts w:asciiTheme="minorHAnsi" w:hAnsiTheme="minorHAnsi" w:cstheme="minorHAnsi"/>
          <w:bCs/>
          <w:color w:val="767171" w:themeColor="background2" w:themeShade="80"/>
          <w:sz w:val="26"/>
          <w:szCs w:val="26"/>
        </w:rPr>
        <w:t xml:space="preserve"> tal conducta a la propietaria del vehículo, ciudadana </w:t>
      </w:r>
      <w:r>
        <w:rPr>
          <w:rFonts w:ascii="Calibri" w:hAnsi="Calibri" w:cs="Calibri"/>
          <w:color w:val="767171" w:themeColor="background2" w:themeShade="80"/>
          <w:sz w:val="26"/>
          <w:szCs w:val="26"/>
        </w:rPr>
        <w:t>*****, pues en la redacción de los hechos en la boleta, se menciona a un conductor y no una conductora</w:t>
      </w:r>
      <w:r>
        <w:rPr>
          <w:rFonts w:asciiTheme="minorHAnsi" w:hAnsiTheme="minorHAnsi" w:cstheme="minorHAnsi"/>
          <w:bCs/>
          <w:color w:val="767171" w:themeColor="background2" w:themeShade="80"/>
          <w:sz w:val="26"/>
          <w:szCs w:val="26"/>
        </w:rPr>
        <w:t>; de ahí que no pueda imputársele a tal persona dicha conducta. L</w:t>
      </w:r>
      <w:r>
        <w:rPr>
          <w:rFonts w:asciiTheme="minorHAnsi" w:hAnsiTheme="minorHAnsi" w:cstheme="minorHAnsi"/>
          <w:color w:val="767171" w:themeColor="background2" w:themeShade="80"/>
          <w:sz w:val="26"/>
          <w:szCs w:val="26"/>
        </w:rPr>
        <w:t xml:space="preserve">o que se traduce entonces que el acta de infracción, en cuanto a la segunda infracción anotada, también se encuentre indebidamente motivada; lo que constituye también un vicio de carácter formal, al no cumplirse con el elemento de validez previsto en la fracción VI, del artículo 137, del Código de Procedimiento y Justicia Administrativa para el Estado y los Municipios de Guanajuato. . . . . . . . . . . . . . . . . </w:t>
      </w:r>
    </w:p>
    <w:p w:rsidR="00BE3FDB" w:rsidRDefault="00BE3FDB" w:rsidP="00BE3FDB">
      <w:pPr>
        <w:jc w:val="both"/>
        <w:rPr>
          <w:rFonts w:asciiTheme="minorHAnsi" w:hAnsiTheme="minorHAnsi" w:cstheme="minorHAnsi"/>
          <w:bCs/>
          <w:color w:val="767171" w:themeColor="background2" w:themeShade="80"/>
          <w:sz w:val="20"/>
          <w:szCs w:val="20"/>
        </w:rPr>
      </w:pPr>
    </w:p>
    <w:p w:rsidR="00BE3FDB" w:rsidRDefault="00BE3FDB" w:rsidP="00BE3FDB">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Por lo que al resultar fundado el concepto de impugnación en estudio, en sus incisos A y B, se concluye que el </w:t>
      </w:r>
      <w:r>
        <w:rPr>
          <w:rFonts w:ascii="Calibri" w:hAnsi="Calibri" w:cs="Calibri"/>
          <w:color w:val="767171" w:themeColor="background2" w:themeShade="80"/>
          <w:sz w:val="26"/>
          <w:szCs w:val="26"/>
        </w:rPr>
        <w:t>acta de infracción con número T-5539236 (T guion cinco-cinco-tres-nueve-dos-tres-seis), de fecha 28 veintiocho de noviembre del año 2016 dos mil dieciséis</w:t>
      </w:r>
      <w:r>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Pr>
          <w:rFonts w:asciiTheme="minorHAnsi" w:hAnsiTheme="minorHAnsi" w:cstheme="minorHAnsi"/>
          <w:b/>
          <w:color w:val="767171" w:themeColor="background2" w:themeShade="80"/>
          <w:sz w:val="26"/>
          <w:szCs w:val="26"/>
        </w:rPr>
        <w:t>decretar</w:t>
      </w:r>
      <w:r>
        <w:rPr>
          <w:rFonts w:asciiTheme="minorHAnsi" w:hAnsiTheme="minorHAnsi" w:cstheme="minorHAnsi"/>
          <w:color w:val="767171" w:themeColor="background2" w:themeShade="80"/>
          <w:sz w:val="26"/>
          <w:szCs w:val="26"/>
        </w:rPr>
        <w:t xml:space="preserve"> su </w:t>
      </w:r>
      <w:r>
        <w:rPr>
          <w:rFonts w:asciiTheme="minorHAnsi" w:hAnsiTheme="minorHAnsi" w:cstheme="minorHAnsi"/>
          <w:b/>
          <w:bCs/>
          <w:color w:val="767171" w:themeColor="background2" w:themeShade="80"/>
          <w:sz w:val="26"/>
          <w:szCs w:val="26"/>
        </w:rPr>
        <w:t>nulidad total</w:t>
      </w:r>
      <w:r>
        <w:rPr>
          <w:rFonts w:ascii="Calibri" w:hAnsi="Calibri" w:cs="Calibri"/>
          <w:color w:val="767171" w:themeColor="background2" w:themeShade="80"/>
          <w:sz w:val="26"/>
          <w:szCs w:val="26"/>
        </w:rPr>
        <w:t xml:space="preserve">. . . . . . . . . . . . . . . . . . . . . . . . . . . . . . . . . . . . . . </w:t>
      </w:r>
    </w:p>
    <w:p w:rsidR="00BE3FDB" w:rsidRDefault="00BE3FDB" w:rsidP="00BE3FDB">
      <w:pPr>
        <w:pStyle w:val="Textoindependiente"/>
        <w:rPr>
          <w:rFonts w:ascii="Calibri" w:hAnsi="Calibri" w:cs="Calibri"/>
          <w:b/>
          <w:bCs/>
          <w:i/>
          <w:iCs/>
          <w:color w:val="AEAAAA" w:themeColor="background2" w:themeShade="BF"/>
          <w:sz w:val="20"/>
          <w:szCs w:val="20"/>
          <w:lang w:val="es-ES"/>
        </w:rPr>
      </w:pPr>
    </w:p>
    <w:p w:rsidR="00BE3FDB" w:rsidRDefault="00BE3FDB" w:rsidP="00BE3FDB">
      <w:pPr>
        <w:pStyle w:val="Textoindependiente"/>
        <w:ind w:firstLine="708"/>
        <w:rPr>
          <w:rFonts w:ascii="Calibri" w:hAnsi="Calibri" w:cs="Arial"/>
          <w:color w:val="767171" w:themeColor="background2" w:themeShade="80"/>
          <w:sz w:val="26"/>
          <w:szCs w:val="27"/>
        </w:rPr>
      </w:pPr>
      <w:r>
        <w:rPr>
          <w:rFonts w:ascii="Calibri" w:hAnsi="Calibri" w:cs="Calibri"/>
          <w:b/>
          <w:bCs/>
          <w:i/>
          <w:iCs/>
          <w:color w:val="767171" w:themeColor="background2" w:themeShade="80"/>
          <w:sz w:val="26"/>
          <w:szCs w:val="26"/>
        </w:rPr>
        <w:t>SÉPTIMO</w:t>
      </w:r>
      <w:r>
        <w:rPr>
          <w:rFonts w:ascii="Calibri" w:hAnsi="Calibri" w:cs="Calibri"/>
          <w:i/>
          <w:iCs/>
          <w:color w:val="767171" w:themeColor="background2" w:themeShade="80"/>
          <w:sz w:val="26"/>
          <w:szCs w:val="26"/>
        </w:rPr>
        <w:t xml:space="preserve">.- </w:t>
      </w:r>
      <w:r>
        <w:rPr>
          <w:rFonts w:ascii="Calibri" w:hAnsi="Calibri" w:cs="Arial"/>
          <w:color w:val="767171" w:themeColor="background2" w:themeShade="80"/>
          <w:sz w:val="26"/>
          <w:szCs w:val="27"/>
        </w:rPr>
        <w:t>En virtud de que el primer concepto de impugnación en sus incisos estudiados, resultó fundado y es suficiente para declarar la nulidad total del acto impugnado; resulta innecesario el estudio del restante concepto esgrimido por la demandante, ya que su análisis no afectaría ni variaría el sentido de esta resolución. . . . . . . . . . . . . . . . . .</w:t>
      </w:r>
      <w:r>
        <w:rPr>
          <w:rFonts w:ascii="Calibri" w:hAnsi="Calibri" w:cs="Calibri"/>
          <w:color w:val="767171" w:themeColor="background2" w:themeShade="80"/>
          <w:sz w:val="26"/>
          <w:szCs w:val="26"/>
        </w:rPr>
        <w:t xml:space="preserve"> . . . . . . . . . . . . . . . . . . . . . . . . . . . . . . . . . . . . </w:t>
      </w:r>
    </w:p>
    <w:p w:rsidR="00BE3FDB" w:rsidRDefault="00BE3FDB" w:rsidP="00BE3FDB">
      <w:pPr>
        <w:pStyle w:val="Textoindependiente"/>
        <w:rPr>
          <w:rFonts w:ascii="Calibri" w:hAnsi="Calibri" w:cs="Arial"/>
          <w:color w:val="767171" w:themeColor="background2" w:themeShade="80"/>
          <w:sz w:val="20"/>
          <w:szCs w:val="27"/>
        </w:rPr>
      </w:pPr>
    </w:p>
    <w:p w:rsidR="00BE3FDB" w:rsidRDefault="00BE3FDB" w:rsidP="00BE3FDB">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BE3FDB" w:rsidRDefault="00BE3FDB" w:rsidP="00BE3FDB">
      <w:pPr>
        <w:pStyle w:val="Textoindependiente"/>
        <w:rPr>
          <w:rFonts w:ascii="Calibri" w:hAnsi="Calibri"/>
          <w:b/>
          <w:bCs/>
          <w:i/>
          <w:iCs/>
          <w:color w:val="767171" w:themeColor="background2" w:themeShade="80"/>
          <w:sz w:val="20"/>
          <w:szCs w:val="20"/>
        </w:rPr>
      </w:pPr>
    </w:p>
    <w:p w:rsidR="00BE3FDB" w:rsidRDefault="00BE3FDB" w:rsidP="00BE3FDB">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Pr>
          <w:rFonts w:ascii="Calibri" w:hAnsi="Calibri"/>
          <w:color w:val="767171" w:themeColor="background2" w:themeShade="80"/>
          <w:sz w:val="20"/>
          <w:szCs w:val="20"/>
        </w:rPr>
        <w:t xml:space="preserve">125 </w:t>
      </w:r>
      <w:r>
        <w:rPr>
          <w:rFonts w:ascii="Calibri" w:hAnsi="Calibri"/>
          <w:color w:val="767171" w:themeColor="background2" w:themeShade="80"/>
          <w:sz w:val="26"/>
          <w:szCs w:val="26"/>
        </w:rPr>
        <w:t>.</w:t>
      </w:r>
      <w:proofErr w:type="gramEnd"/>
      <w:r>
        <w:rPr>
          <w:rFonts w:ascii="Calibri" w:hAnsi="Calibri"/>
          <w:color w:val="767171" w:themeColor="background2" w:themeShade="80"/>
          <w:sz w:val="26"/>
          <w:szCs w:val="26"/>
        </w:rPr>
        <w:t xml:space="preserve"> . . . . . . . . . . . . . . . . . . . . . . . . . . . . . . . . . . . . . . . . . . . . . . . . . . . . . . . . . . . . .</w:t>
      </w:r>
    </w:p>
    <w:p w:rsidR="00BE3FDB" w:rsidRDefault="00BE3FDB" w:rsidP="00BE3FDB">
      <w:pPr>
        <w:pStyle w:val="Textoindependiente"/>
        <w:rPr>
          <w:rFonts w:ascii="Calibri" w:hAnsi="Calibri" w:cs="Calibri"/>
          <w:b/>
          <w:i/>
          <w:iCs/>
          <w:color w:val="AEAAAA" w:themeColor="background2" w:themeShade="BF"/>
          <w:sz w:val="20"/>
          <w:szCs w:val="20"/>
        </w:rPr>
      </w:pPr>
    </w:p>
    <w:p w:rsidR="00BE3FDB" w:rsidRDefault="00BE3FDB" w:rsidP="00BE3FDB">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lastRenderedPageBreak/>
        <w:t>OCTAVO.-</w:t>
      </w:r>
      <w:r>
        <w:rPr>
          <w:rFonts w:ascii="Calibri" w:hAnsi="Calibri" w:cs="Calibri"/>
          <w:i/>
          <w:iCs/>
          <w:color w:val="767171" w:themeColor="background2" w:themeShade="80"/>
          <w:sz w:val="26"/>
          <w:szCs w:val="26"/>
        </w:rPr>
        <w:t xml:space="preserve"> </w:t>
      </w:r>
      <w:r>
        <w:rPr>
          <w:rFonts w:ascii="Calibri" w:hAnsi="Calibri"/>
          <w:color w:val="767171" w:themeColor="background2" w:themeShade="80"/>
          <w:sz w:val="26"/>
          <w:szCs w:val="26"/>
        </w:rPr>
        <w:t xml:space="preserve">De lo pretendido por la parte actora, se encuentra también lo concerniente a que se ordene a la autoridad demandada a que devuelva las cantidades de </w:t>
      </w:r>
      <w:r>
        <w:rPr>
          <w:rFonts w:ascii="Calibri" w:hAnsi="Calibri" w:cs="Calibri"/>
          <w:iCs/>
          <w:color w:val="767171" w:themeColor="background2" w:themeShade="80"/>
          <w:sz w:val="26"/>
          <w:szCs w:val="26"/>
        </w:rPr>
        <w:t xml:space="preserve">$94.95 (Noventa y cuatro pesos 95/100 Moneda Nacional) y $730.40 (Setecientos treinta pesos 40/100 Moneda Nacional); mismas que la </w:t>
      </w:r>
      <w:proofErr w:type="spellStart"/>
      <w:r>
        <w:rPr>
          <w:rFonts w:ascii="Calibri" w:hAnsi="Calibri" w:cs="Calibri"/>
          <w:iCs/>
          <w:color w:val="767171" w:themeColor="background2" w:themeShade="80"/>
          <w:sz w:val="26"/>
          <w:szCs w:val="26"/>
        </w:rPr>
        <w:t>promovente</w:t>
      </w:r>
      <w:proofErr w:type="spellEnd"/>
      <w:r>
        <w:rPr>
          <w:rFonts w:ascii="Calibri" w:hAnsi="Calibri" w:cs="Calibri"/>
          <w:iCs/>
          <w:color w:val="767171" w:themeColor="background2" w:themeShade="80"/>
          <w:sz w:val="26"/>
          <w:szCs w:val="26"/>
        </w:rPr>
        <w:t xml:space="preserve"> pagó por concepto de multas, según se desprende del recibo oficial de pago número AA 6139179, (AA seis-uno-tres-nueve-uno-siete-nueve), de fecha 2 dos de diciembre del año pasado. . . . . . . . . . . . . . . . . . . . . . . . . . . . . . . . . . . </w:t>
      </w:r>
    </w:p>
    <w:p w:rsidR="00BE3FDB" w:rsidRDefault="00BE3FDB" w:rsidP="00BE3FDB">
      <w:pPr>
        <w:pStyle w:val="Textoindependiente"/>
        <w:ind w:firstLine="708"/>
        <w:rPr>
          <w:rFonts w:ascii="Calibri" w:hAnsi="Calibri"/>
          <w:color w:val="AEAAAA" w:themeColor="background2" w:themeShade="BF"/>
          <w:sz w:val="20"/>
          <w:szCs w:val="20"/>
          <w:lang w:val="es-ES"/>
        </w:rPr>
      </w:pPr>
    </w:p>
    <w:p w:rsidR="00BE3FDB" w:rsidRDefault="00BE3FDB" w:rsidP="00BE3FDB">
      <w:pPr>
        <w:pStyle w:val="Textoindependiente"/>
        <w:ind w:firstLine="708"/>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Pr>
          <w:rFonts w:ascii="Calibri" w:hAnsi="Calibri"/>
          <w:b/>
          <w:color w:val="767171" w:themeColor="background2" w:themeShade="80"/>
          <w:sz w:val="26"/>
          <w:szCs w:val="26"/>
        </w:rPr>
        <w:t>se reconoce</w:t>
      </w:r>
      <w:r>
        <w:rPr>
          <w:rFonts w:ascii="Calibri" w:hAnsi="Calibri"/>
          <w:color w:val="767171" w:themeColor="background2" w:themeShade="80"/>
          <w:sz w:val="26"/>
          <w:szCs w:val="26"/>
        </w:rPr>
        <w:t xml:space="preserve"> el derecho que tiene la justiciable a la devolución de las cantidades señaladas</w:t>
      </w:r>
      <w:r>
        <w:rPr>
          <w:rFonts w:ascii="Calibri" w:hAnsi="Calibri" w:cs="Calibri"/>
          <w:iCs/>
          <w:color w:val="767171" w:themeColor="background2" w:themeShade="80"/>
          <w:sz w:val="26"/>
          <w:szCs w:val="26"/>
        </w:rPr>
        <w:t>;</w:t>
      </w:r>
      <w:r>
        <w:rPr>
          <w:rFonts w:ascii="Calibri" w:hAnsi="Calibri"/>
          <w:color w:val="767171" w:themeColor="background2" w:themeShade="80"/>
          <w:sz w:val="26"/>
          <w:szCs w:val="26"/>
        </w:rPr>
        <w:t xml:space="preserve"> pagadas por concepto de las multas impuestas; por lo que se </w:t>
      </w:r>
      <w:r>
        <w:rPr>
          <w:rFonts w:ascii="Calibri" w:hAnsi="Calibri"/>
          <w:b/>
          <w:color w:val="767171" w:themeColor="background2" w:themeShade="80"/>
          <w:sz w:val="26"/>
          <w:szCs w:val="26"/>
        </w:rPr>
        <w:t>condena</w:t>
      </w:r>
      <w:r>
        <w:rPr>
          <w:rFonts w:ascii="Calibri" w:hAnsi="Calibri"/>
          <w:color w:val="767171" w:themeColor="background2" w:themeShade="80"/>
          <w:sz w:val="26"/>
          <w:szCs w:val="26"/>
        </w:rPr>
        <w:t xml:space="preserve"> a la Agente demandada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Pr>
          <w:rFonts w:ascii="Calibri" w:hAnsi="Calibri"/>
          <w:i/>
          <w:color w:val="767171" w:themeColor="background2" w:themeShade="80"/>
          <w:sz w:val="26"/>
          <w:szCs w:val="26"/>
        </w:rPr>
        <w:t>“Criterios 2000-2008”</w:t>
      </w:r>
      <w:r>
        <w:rPr>
          <w:rFonts w:ascii="Calibri" w:hAnsi="Calibri"/>
          <w:color w:val="767171" w:themeColor="background2" w:themeShade="80"/>
          <w:sz w:val="26"/>
          <w:szCs w:val="26"/>
        </w:rPr>
        <w:t xml:space="preserve"> de dicho Tribunal, el cual es el siguiente: . . . . . . . . . . . . . . . . . . . . . . . . . . . . . . . . . . . . . . . . . . . . . . . . . . . . . . . . . . . . </w:t>
      </w:r>
    </w:p>
    <w:p w:rsidR="00BE3FDB" w:rsidRDefault="00BE3FDB" w:rsidP="00BE3FDB">
      <w:pPr>
        <w:pStyle w:val="Textoindependiente"/>
        <w:ind w:firstLine="708"/>
        <w:rPr>
          <w:rFonts w:ascii="Calibri" w:hAnsi="Calibri"/>
          <w:b/>
          <w:i/>
          <w:color w:val="767171" w:themeColor="background2" w:themeShade="80"/>
          <w:sz w:val="20"/>
          <w:szCs w:val="20"/>
        </w:rPr>
      </w:pPr>
    </w:p>
    <w:p w:rsidR="00BE3FDB" w:rsidRDefault="00BE3FDB" w:rsidP="00BE3FDB">
      <w:pPr>
        <w:pStyle w:val="Textoindependiente"/>
        <w:ind w:firstLine="708"/>
        <w:rPr>
          <w:rFonts w:ascii="Calibri" w:hAnsi="Calibri"/>
          <w:i/>
          <w:color w:val="767171" w:themeColor="background2" w:themeShade="80"/>
          <w:sz w:val="26"/>
          <w:szCs w:val="26"/>
        </w:rPr>
      </w:pPr>
      <w:r>
        <w:rPr>
          <w:rFonts w:ascii="Calibri" w:hAnsi="Calibri"/>
          <w:b/>
          <w:i/>
          <w:color w:val="767171" w:themeColor="background2" w:themeShade="80"/>
          <w:sz w:val="26"/>
          <w:szCs w:val="26"/>
        </w:rPr>
        <w:t>“DEVOLUCIÓN DEL PAGO DE LO INDEBIDO. CORRESPONDE A LA AUTORIDAD DELA QUE EMANÓ EL ACTO ANULADO  REALIZAR LAS GESTIONES PARA</w:t>
      </w:r>
      <w:r>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p>
    <w:p w:rsidR="00BE3FDB" w:rsidRDefault="00BE3FDB" w:rsidP="00BE3FDB">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1060/2016-JN</w:t>
      </w:r>
    </w:p>
    <w:p w:rsidR="00BE3FDB" w:rsidRDefault="00BE3FDB" w:rsidP="00BE3FDB">
      <w:pPr>
        <w:pStyle w:val="Textoindependiente"/>
        <w:ind w:firstLine="708"/>
        <w:rPr>
          <w:rFonts w:ascii="Calibri" w:hAnsi="Calibri"/>
          <w:i/>
          <w:color w:val="AEAAAA" w:themeColor="background2" w:themeShade="BF"/>
          <w:sz w:val="20"/>
          <w:szCs w:val="20"/>
        </w:rPr>
      </w:pPr>
    </w:p>
    <w:p w:rsidR="00BE3FDB" w:rsidRDefault="00BE3FDB" w:rsidP="00BE3FDB">
      <w:pPr>
        <w:pStyle w:val="Textoindependiente"/>
        <w:rPr>
          <w:rFonts w:ascii="Calibri" w:hAnsi="Calibri"/>
          <w:color w:val="767171" w:themeColor="background2" w:themeShade="80"/>
          <w:sz w:val="26"/>
          <w:szCs w:val="26"/>
        </w:rPr>
      </w:pPr>
      <w:proofErr w:type="gramStart"/>
      <w:r>
        <w:rPr>
          <w:rFonts w:ascii="Calibri" w:hAnsi="Calibri"/>
          <w:i/>
          <w:color w:val="767171" w:themeColor="background2" w:themeShade="80"/>
          <w:sz w:val="26"/>
          <w:szCs w:val="26"/>
        </w:rPr>
        <w:t>declarado</w:t>
      </w:r>
      <w:proofErr w:type="gramEnd"/>
      <w:r>
        <w:rPr>
          <w:rFonts w:ascii="Calibri" w:hAnsi="Calibri"/>
          <w:i/>
          <w:color w:val="767171" w:themeColor="background2" w:themeShade="80"/>
          <w:sz w:val="26"/>
          <w:szCs w:val="26"/>
        </w:rPr>
        <w:t xml:space="preserve"> ilegal”. </w:t>
      </w:r>
      <w:r>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b/>
          <w:i/>
          <w:color w:val="767171" w:themeColor="background2" w:themeShade="80"/>
          <w:sz w:val="20"/>
          <w:szCs w:val="20"/>
        </w:rPr>
        <w:t>”</w:t>
      </w:r>
      <w:r>
        <w:rPr>
          <w:rFonts w:ascii="Calibri" w:hAnsi="Calibri"/>
          <w:color w:val="767171" w:themeColor="background2" w:themeShade="80"/>
          <w:sz w:val="20"/>
          <w:szCs w:val="20"/>
        </w:rPr>
        <w:t xml:space="preserve">. </w:t>
      </w:r>
      <w:r>
        <w:rPr>
          <w:rFonts w:ascii="Calibri" w:hAnsi="Calibri"/>
          <w:color w:val="767171" w:themeColor="background2" w:themeShade="80"/>
          <w:sz w:val="26"/>
          <w:szCs w:val="26"/>
        </w:rPr>
        <w:t xml:space="preserve">. . . . . . . . . . . . . . . . . . . . . . . . . . . . . . . . . . . . . . . . . . . . . . . . . . . . . . . . . . </w:t>
      </w:r>
    </w:p>
    <w:p w:rsidR="00BE3FDB" w:rsidRDefault="00BE3FDB" w:rsidP="00BE3FDB">
      <w:pPr>
        <w:pStyle w:val="Textoindependiente"/>
        <w:rPr>
          <w:rFonts w:ascii="Calibri" w:hAnsi="Calibri" w:cs="Calibri"/>
          <w:color w:val="767171" w:themeColor="background2" w:themeShade="80"/>
          <w:sz w:val="20"/>
          <w:szCs w:val="20"/>
        </w:rPr>
      </w:pPr>
    </w:p>
    <w:p w:rsidR="00BE3FDB" w:rsidRDefault="00BE3FDB" w:rsidP="00BE3FDB">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BE3FDB" w:rsidRDefault="00BE3FDB" w:rsidP="00BE3FDB">
      <w:pPr>
        <w:pStyle w:val="Textoindependiente"/>
        <w:rPr>
          <w:rFonts w:ascii="Calibri" w:hAnsi="Calibri" w:cs="Calibri"/>
          <w:color w:val="767171" w:themeColor="background2" w:themeShade="80"/>
          <w:sz w:val="20"/>
          <w:szCs w:val="20"/>
        </w:rPr>
      </w:pPr>
    </w:p>
    <w:p w:rsidR="00BE3FDB" w:rsidRDefault="00BE3FDB" w:rsidP="00BE3FDB">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BE3FDB" w:rsidRDefault="00BE3FDB" w:rsidP="00BE3FDB">
      <w:pPr>
        <w:pStyle w:val="Textoindependiente"/>
        <w:rPr>
          <w:rFonts w:ascii="Calibri" w:hAnsi="Calibri" w:cs="Calibri"/>
          <w:color w:val="767171" w:themeColor="background2" w:themeShade="80"/>
          <w:sz w:val="20"/>
          <w:szCs w:val="20"/>
        </w:rPr>
      </w:pPr>
    </w:p>
    <w:p w:rsidR="00BE3FDB" w:rsidRDefault="00BE3FDB" w:rsidP="00BE3FDB">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BE3FDB" w:rsidRDefault="00BE3FDB" w:rsidP="00BE3FDB">
      <w:pPr>
        <w:pStyle w:val="Textoindependiente"/>
        <w:rPr>
          <w:rFonts w:ascii="Calibri" w:hAnsi="Calibri" w:cs="Calibri"/>
          <w:color w:val="767171" w:themeColor="background2" w:themeShade="80"/>
          <w:sz w:val="20"/>
          <w:szCs w:val="20"/>
        </w:rPr>
      </w:pPr>
    </w:p>
    <w:p w:rsidR="00BE3FDB" w:rsidRDefault="00BE3FDB" w:rsidP="00BE3FDB">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la ciudadana *****, en contra del acta de infracción impugnada. . . . . . . . . . . . . . . . . . . . . . . . . . . . . . . . . . . . . . . . . . . . . . . . . . . . . . . . . . . . </w:t>
      </w:r>
    </w:p>
    <w:p w:rsidR="00BE3FDB" w:rsidRDefault="00BE3FDB" w:rsidP="00BE3FDB">
      <w:pPr>
        <w:pStyle w:val="Textoindependiente"/>
        <w:rPr>
          <w:rFonts w:ascii="Calibri" w:hAnsi="Calibri" w:cs="Calibri"/>
          <w:bCs/>
          <w:iCs/>
          <w:color w:val="767171" w:themeColor="background2" w:themeShade="80"/>
          <w:sz w:val="20"/>
          <w:szCs w:val="20"/>
          <w:lang w:val="es-ES"/>
        </w:rPr>
      </w:pPr>
    </w:p>
    <w:p w:rsidR="00BE3FDB" w:rsidRDefault="00BE3FDB" w:rsidP="00BE3FDB">
      <w:pPr>
        <w:ind w:firstLine="708"/>
        <w:jc w:val="both"/>
        <w:rPr>
          <w:rFonts w:ascii="Calibri" w:hAnsi="Calibri" w:cs="Calibri"/>
          <w:b/>
          <w:color w:val="767171" w:themeColor="background2" w:themeShade="80"/>
          <w:sz w:val="26"/>
          <w:szCs w:val="26"/>
        </w:rPr>
      </w:pPr>
      <w:r>
        <w:rPr>
          <w:rFonts w:ascii="Calibri" w:hAnsi="Calibri"/>
          <w:b/>
          <w:bCs/>
          <w:i/>
          <w:iCs/>
          <w:color w:val="767171" w:themeColor="background2" w:themeShade="80"/>
          <w:sz w:val="26"/>
        </w:rPr>
        <w:t>TERCERO</w:t>
      </w:r>
      <w:r>
        <w:rPr>
          <w:rFonts w:ascii="Calibri" w:hAnsi="Calibri"/>
          <w:color w:val="767171" w:themeColor="background2" w:themeShade="80"/>
          <w:sz w:val="26"/>
        </w:rPr>
        <w:t xml:space="preserve">.- 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nulidad total </w:t>
      </w:r>
      <w:r>
        <w:rPr>
          <w:rFonts w:ascii="Calibri" w:hAnsi="Calibri"/>
          <w:color w:val="767171" w:themeColor="background2" w:themeShade="80"/>
          <w:sz w:val="26"/>
        </w:rPr>
        <w:t>del</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T-5539236 (T guion cinco-cinco-tres-nueve-dos-tres-seis)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28</w:t>
      </w:r>
      <w:r>
        <w:rPr>
          <w:rFonts w:ascii="Calibri" w:hAnsi="Calibri" w:cs="Calibri"/>
          <w:color w:val="767171" w:themeColor="background2" w:themeShade="80"/>
          <w:sz w:val="26"/>
          <w:szCs w:val="26"/>
        </w:rPr>
        <w:t xml:space="preserve"> veintiocho de </w:t>
      </w:r>
      <w:r>
        <w:rPr>
          <w:rFonts w:ascii="Calibri" w:hAnsi="Calibri" w:cs="Calibri"/>
          <w:b/>
          <w:color w:val="767171" w:themeColor="background2" w:themeShade="80"/>
          <w:sz w:val="26"/>
          <w:szCs w:val="26"/>
        </w:rPr>
        <w:t>noviembre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w:t>
      </w:r>
      <w:r>
        <w:rPr>
          <w:rFonts w:asciiTheme="minorHAnsi" w:hAnsiTheme="minorHAnsi" w:cstheme="minorHAnsi"/>
          <w:color w:val="767171" w:themeColor="background2" w:themeShade="80"/>
          <w:sz w:val="26"/>
          <w:szCs w:val="26"/>
        </w:rPr>
        <w:t>;</w:t>
      </w:r>
      <w:r>
        <w:rPr>
          <w:rFonts w:ascii="Calibri" w:hAnsi="Calibri" w:cs="Calibri"/>
          <w:color w:val="767171" w:themeColor="background2" w:themeShade="80"/>
          <w:sz w:val="26"/>
          <w:szCs w:val="26"/>
        </w:rPr>
        <w:t xml:space="preserve"> en base a las consideraciones lógicas y jurídicas expresadas en el Considerando Sexto de la presente sentencia. </w:t>
      </w:r>
    </w:p>
    <w:p w:rsidR="00BE3FDB" w:rsidRDefault="00BE3FDB" w:rsidP="00BE3FDB">
      <w:pPr>
        <w:pStyle w:val="Textoindependiente"/>
        <w:rPr>
          <w:rFonts w:ascii="Calibri" w:hAnsi="Calibri" w:cs="Calibri"/>
          <w:b/>
          <w:bCs/>
          <w:i/>
          <w:iCs/>
          <w:color w:val="767171" w:themeColor="background2" w:themeShade="80"/>
          <w:sz w:val="20"/>
          <w:szCs w:val="20"/>
          <w:lang w:val="es-ES"/>
        </w:rPr>
      </w:pPr>
    </w:p>
    <w:p w:rsidR="00BE3FDB" w:rsidRDefault="00BE3FDB" w:rsidP="00BE3FDB">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 xml:space="preserve">CUARTO.- </w:t>
      </w:r>
      <w:r>
        <w:rPr>
          <w:rFonts w:ascii="Calibri" w:hAnsi="Calibri" w:cs="Calibri"/>
          <w:color w:val="767171" w:themeColor="background2" w:themeShade="80"/>
          <w:sz w:val="26"/>
          <w:szCs w:val="26"/>
        </w:rPr>
        <w:t xml:space="preserve">Se </w:t>
      </w:r>
      <w:r>
        <w:rPr>
          <w:rFonts w:ascii="Calibri" w:hAnsi="Calibri" w:cs="Calibri"/>
          <w:b/>
          <w:color w:val="767171" w:themeColor="background2" w:themeShade="80"/>
          <w:sz w:val="26"/>
          <w:szCs w:val="26"/>
        </w:rPr>
        <w:t>condena</w:t>
      </w:r>
      <w:r>
        <w:rPr>
          <w:rFonts w:ascii="Calibri" w:hAnsi="Calibri" w:cs="Calibri"/>
          <w:color w:val="767171" w:themeColor="background2" w:themeShade="80"/>
          <w:sz w:val="26"/>
          <w:szCs w:val="26"/>
        </w:rPr>
        <w:t xml:space="preserve"> a la Agente de Tránsito de nombre </w:t>
      </w:r>
      <w:r>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a que </w:t>
      </w:r>
      <w:r>
        <w:rPr>
          <w:rFonts w:ascii="Calibri" w:hAnsi="Calibri" w:cs="Calibri"/>
          <w:b/>
          <w:color w:val="767171" w:themeColor="background2" w:themeShade="80"/>
          <w:sz w:val="26"/>
          <w:szCs w:val="26"/>
        </w:rPr>
        <w:t>devuelva</w:t>
      </w:r>
      <w:r>
        <w:rPr>
          <w:rFonts w:ascii="Calibri" w:hAnsi="Calibri" w:cs="Calibri"/>
          <w:color w:val="767171" w:themeColor="background2" w:themeShade="80"/>
          <w:sz w:val="26"/>
          <w:szCs w:val="26"/>
        </w:rPr>
        <w:t xml:space="preserve"> a la ciudadana </w:t>
      </w:r>
      <w:r>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las </w:t>
      </w:r>
      <w:r>
        <w:rPr>
          <w:rFonts w:ascii="Calibri" w:hAnsi="Calibri"/>
          <w:color w:val="767171" w:themeColor="background2" w:themeShade="80"/>
          <w:sz w:val="26"/>
          <w:szCs w:val="26"/>
        </w:rPr>
        <w:t xml:space="preserve">cantidades de </w:t>
      </w:r>
      <w:r>
        <w:rPr>
          <w:rFonts w:ascii="Calibri" w:hAnsi="Calibri" w:cs="Calibri"/>
          <w:b/>
          <w:iCs/>
          <w:color w:val="767171" w:themeColor="background2" w:themeShade="80"/>
          <w:sz w:val="26"/>
          <w:szCs w:val="26"/>
        </w:rPr>
        <w:t>$94.95 (Noventa y cuatro pesos 95/100 Moneda Nacional) y $730.40 (Setecientos treinta pesos 40/100 Moneda Nacional),</w:t>
      </w:r>
      <w:r>
        <w:rPr>
          <w:rFonts w:ascii="Calibri" w:hAnsi="Calibri" w:cs="Calibri"/>
          <w:iCs/>
          <w:color w:val="767171" w:themeColor="background2" w:themeShade="80"/>
          <w:sz w:val="26"/>
          <w:szCs w:val="26"/>
        </w:rPr>
        <w:t xml:space="preserve"> pagadas por concepto de multas, conforme a lo señalado en el recibo oficial con número AA 6139179, (AA seis-uno-tres-nueve-uno-siete-nueve), de fecha 2 dos de diciembre del año próximo pasado. </w:t>
      </w:r>
      <w:r>
        <w:rPr>
          <w:rFonts w:ascii="Calibri" w:hAnsi="Calibri" w:cs="Calibri"/>
          <w:color w:val="767171" w:themeColor="background2" w:themeShade="80"/>
          <w:sz w:val="26"/>
          <w:szCs w:val="26"/>
        </w:rPr>
        <w:t xml:space="preserve">Lo anterior de acuerdo a lo argumentado en el Considerando Octavo de esta resolución. . . . . . . . . . . . . . . . . . . . . . . . . . . . . . . . . . . </w:t>
      </w:r>
    </w:p>
    <w:p w:rsidR="00BE3FDB" w:rsidRDefault="00BE3FDB" w:rsidP="00BE3FDB">
      <w:pPr>
        <w:pStyle w:val="Textoindependiente"/>
        <w:ind w:firstLine="708"/>
        <w:rPr>
          <w:rFonts w:ascii="Calibri" w:hAnsi="Calibri" w:cs="Calibri"/>
          <w:color w:val="767171" w:themeColor="background2" w:themeShade="80"/>
          <w:sz w:val="20"/>
          <w:szCs w:val="20"/>
        </w:rPr>
      </w:pPr>
    </w:p>
    <w:p w:rsidR="00BE3FDB" w:rsidRDefault="00BE3FDB" w:rsidP="00BE3FDB">
      <w:pPr>
        <w:pStyle w:val="Textoindependiente"/>
        <w:ind w:firstLine="708"/>
        <w:rPr>
          <w:rFonts w:ascii="Calibri" w:hAnsi="Calibri"/>
          <w:color w:val="767171" w:themeColor="background2" w:themeShade="80"/>
          <w:sz w:val="26"/>
          <w:szCs w:val="26"/>
        </w:rPr>
      </w:pPr>
      <w:r>
        <w:rPr>
          <w:rFonts w:ascii="Calibri" w:hAnsi="Calibri" w:cs="Calibri"/>
          <w:color w:val="767171" w:themeColor="background2" w:themeShade="80"/>
          <w:sz w:val="26"/>
          <w:szCs w:val="26"/>
        </w:rPr>
        <w:t xml:space="preserve">Devolución que se deberá realizar dentro de los </w:t>
      </w:r>
      <w:r>
        <w:rPr>
          <w:rFonts w:ascii="Calibri" w:hAnsi="Calibri" w:cs="Calibri"/>
          <w:b/>
          <w:color w:val="767171" w:themeColor="background2" w:themeShade="80"/>
          <w:sz w:val="26"/>
          <w:szCs w:val="26"/>
        </w:rPr>
        <w:t>15 quince días</w:t>
      </w:r>
      <w:r>
        <w:rPr>
          <w:rFonts w:ascii="Calibri" w:hAnsi="Calibri" w:cs="Calibri"/>
          <w:color w:val="767171" w:themeColor="background2" w:themeShade="80"/>
          <w:sz w:val="26"/>
          <w:szCs w:val="26"/>
        </w:rPr>
        <w:t xml:space="preserve"> hábiles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BE3FDB" w:rsidRDefault="00BE3FDB" w:rsidP="00BE3FDB">
      <w:pPr>
        <w:pStyle w:val="Textoindependiente"/>
        <w:rPr>
          <w:rFonts w:ascii="Calibri" w:hAnsi="Calibri" w:cs="Calibri"/>
          <w:color w:val="767171" w:themeColor="background2" w:themeShade="80"/>
          <w:sz w:val="20"/>
          <w:szCs w:val="20"/>
        </w:rPr>
      </w:pPr>
    </w:p>
    <w:p w:rsidR="00BE3FDB" w:rsidRDefault="00BE3FDB" w:rsidP="00BE3FDB">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BE3FDB" w:rsidRDefault="00BE3FDB" w:rsidP="00BE3FDB">
      <w:pPr>
        <w:pStyle w:val="Textoindependiente"/>
        <w:rPr>
          <w:rFonts w:ascii="Calibri" w:hAnsi="Calibri" w:cs="Calibri"/>
          <w:color w:val="767171" w:themeColor="background2" w:themeShade="80"/>
          <w:sz w:val="20"/>
          <w:szCs w:val="20"/>
        </w:rPr>
      </w:pPr>
    </w:p>
    <w:p w:rsidR="00BE3FDB" w:rsidRDefault="00BE3FDB" w:rsidP="00BE3FDB">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BE3FDB" w:rsidRDefault="00BE3FDB" w:rsidP="00BE3FDB">
      <w:pPr>
        <w:pStyle w:val="Textoindependiente"/>
        <w:rPr>
          <w:rFonts w:ascii="Calibri" w:hAnsi="Calibri" w:cs="Calibri"/>
          <w:color w:val="767171" w:themeColor="background2" w:themeShade="80"/>
          <w:sz w:val="20"/>
          <w:szCs w:val="20"/>
        </w:rPr>
      </w:pPr>
    </w:p>
    <w:p w:rsidR="004F58FC" w:rsidRPr="00BE3FDB" w:rsidRDefault="00BE3FDB" w:rsidP="00BE3FDB">
      <w:pPr>
        <w:pStyle w:val="Textoindependiente"/>
        <w:ind w:firstLine="708"/>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Pr>
          <w:rFonts w:ascii="Calibri" w:hAnsi="Calibri" w:cs="Calibri"/>
          <w:b/>
          <w:bCs/>
          <w:color w:val="767171" w:themeColor="background2" w:themeShade="80"/>
          <w:sz w:val="26"/>
          <w:szCs w:val="26"/>
        </w:rPr>
        <w:t>María del Rocío Villanueva Sánchez</w:t>
      </w:r>
      <w:r>
        <w:rPr>
          <w:rFonts w:ascii="Calibri" w:hAnsi="Calibri" w:cs="Calibri"/>
          <w:color w:val="767171" w:themeColor="background2" w:themeShade="80"/>
          <w:sz w:val="26"/>
          <w:szCs w:val="26"/>
        </w:rPr>
        <w:t xml:space="preserve">, quien da fe. . . . . . . . . . . . . . . . . . . . . . . . . . . . . . . . . . . . . . . . . . </w:t>
      </w:r>
      <w:bookmarkStart w:id="0" w:name="_GoBack"/>
      <w:bookmarkEnd w:id="0"/>
    </w:p>
    <w:sectPr w:rsidR="004F58FC" w:rsidRPr="00BE3F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DB"/>
    <w:rsid w:val="004F58FC"/>
    <w:rsid w:val="00BE3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37489-D454-4D5C-8379-F475AA66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FD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E3FDB"/>
    <w:pPr>
      <w:jc w:val="both"/>
    </w:pPr>
    <w:rPr>
      <w:lang w:val="es-MX"/>
    </w:rPr>
  </w:style>
  <w:style w:type="character" w:customStyle="1" w:styleId="TextoindependienteCar">
    <w:name w:val="Texto independiente Car"/>
    <w:basedOn w:val="Fuentedeprrafopredeter"/>
    <w:link w:val="Textoindependiente"/>
    <w:rsid w:val="00BE3FDB"/>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E3FDB"/>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E3FD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3968</Words>
  <Characters>21829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2017-08-31T15:44:00Z</dcterms:created>
  <dcterms:modified xsi:type="dcterms:W3CDTF">2017-08-31T15:44:00Z</dcterms:modified>
</cp:coreProperties>
</file>